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від ___ ________ 2023 року</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Звіт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виконання Програми соціально-економічного та культурного розвитку Сквирської міської територіальної громади за 2022 рік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Реальний сектор економіки.</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Промисловість.</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станом на 01.01.2023 року працю</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14 середніх і малих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приватних промислових підприємств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які забезпечували економіку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Після російського вторгнення в Україну,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протягом березня 2022 року, в громаді лише одне підприємство скоротило виробництво та одне тимчасово зупиняло роботу. В цілому в роботі промислових підприємств суттєвих змін не відбулося, лише впровадили додаткові заходи захисту співробітників.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налічується 5 промислових підприємств, які обмежили обсяги виробництва внаслідок енергетичної кризи, що виникла через російську агресію. Так,</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ТОВ «Сквиратекс» скоротило обсяги виробництва відносно 2021 року на 80%,  ТОВ «Євросід» - на 50 %, ТОВ «Сквирський завод продтоварів» - на 30%, ТОВ «Сквирський комбінат хлібопродуктів» - на 23%, ТОВ «Київхліб» Сквирський </w:t>
      </w:r>
      <w:r w:rsidDel="00000000" w:rsidR="00000000" w:rsidRPr="00000000">
        <w:rPr>
          <w:rFonts w:ascii="Times New Roman" w:cs="Times New Roman" w:eastAsia="Times New Roman" w:hAnsi="Times New Roman"/>
          <w:sz w:val="28"/>
          <w:szCs w:val="28"/>
          <w:rtl w:val="0"/>
        </w:rPr>
        <w:t xml:space="preserve">хлібзавод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на 10%.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Керівництвом ТОВ «Київхліб», через збитковість структурного підрозділу у Сквирі, прийнято рішення про зупинення виробництва на Сквирському </w:t>
      </w:r>
      <w:r w:rsidDel="00000000" w:rsidR="00000000" w:rsidRPr="00000000">
        <w:rPr>
          <w:rFonts w:ascii="Times New Roman" w:cs="Times New Roman" w:eastAsia="Times New Roman" w:hAnsi="Times New Roman"/>
          <w:color w:val="050505"/>
          <w:sz w:val="28"/>
          <w:szCs w:val="28"/>
          <w:highlight w:val="white"/>
          <w:rtl w:val="0"/>
        </w:rPr>
        <w:t xml:space="preserve">хлібзаводі</w:t>
      </w:r>
      <w:r w:rsidDel="00000000" w:rsidR="00000000" w:rsidRPr="00000000">
        <w:rPr>
          <w:rFonts w:ascii="Times New Roman" w:cs="Times New Roman" w:eastAsia="Times New Roman" w:hAnsi="Times New Roman"/>
          <w:b w:val="0"/>
          <w:i w:val="0"/>
          <w:smallCaps w:val="0"/>
          <w:strike w:val="0"/>
          <w:color w:val="050505"/>
          <w:sz w:val="28"/>
          <w:szCs w:val="28"/>
          <w:highlight w:val="white"/>
          <w:u w:val="none"/>
          <w:vertAlign w:val="baseline"/>
          <w:rtl w:val="0"/>
        </w:rPr>
        <w:t xml:space="preserve"> та встановлення нової сучасної лінії з виробництва формового хліба на Білоцерківському хлібокомбінаті зі збереженням рецептури, асортименту та належним забезпеченням жителів громади якісними хлібобулочними виробами.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Основні бюджетоутворюючі підприємства станом на 01.01.2023 року не мали боргів по сплаті податків до місцевого бюджету Сквирської міської територіальної громади.</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Підприємства ТОВ «Сквирський комбінат хлібопродуктів» та Сквирська філія ТОВ «Грона» співпрацюють з підприємствами мережевої торгівлі на території України.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підприємствах постійно триває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 у 2021 році відновлено роботу ТОВ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«Сквирський завод продтоварів». </w:t>
      </w: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ісля реконструкції існуючих виробничих потужностей введено в дію цех з 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ерероблення молока, виробництва масла та сиру, а у 2022 році, для забезпечення конкурентоспроможності та прибутковості, підприємство розширило асортимент товарів щоб</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відповідати поточному попиту на якісному і кількісному рівнях.</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За період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широкомасштабної збройної агресії російської федерації проти України жодне підприємство не перемістилося із території громади в інші регіони України.</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Агропромисловий комплекс.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Робота агропромислового комплексу в умовах воєнного стану є надважливою складовою у відновленні економіки України.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Земельний фонд Сквирської територіальної громади становить близько 87,3 тис. га. Сільськогосподарські угіддя займають понад 72,9 тис. га, в тому числі ріллі більше 66,4 тис. га.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9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Пріоритетним напрямком сільськогосподарського виробництва Сквирської міської територіальної громади є вирощування зернових, зернобобових та технічних культур, зокрема пшениці, ячменю, кукурудзи, сої, ріпаку, соняшнику, та виробництво свинини, молока в галузі тваринництва. Приділяється серйозна увага на допоміжні галузі – овочівництво, садівництво.</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Найбільшими сільськогосподарськими товаровиробниками і платниками податків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ТДВ Шамраївський цукровий завод, ТОВ «Агрофірма Колос», ПП АС Малолисовецька, ПП «Агрофірма Розволожжя», СГПП ім. Гагаріна, ПП «Новагрос». Надходження до бюджету громади від сільськогосподарських товаровиробників складають біля 30%.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Кожне підприємство самостійно приймає рішення про спрямування  коштів на впровадження нових технологій в галузі тваринництва та рослинництва, що сприяє</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ефективності виробництва. Переважають інвестиції власних коштів підприємств в сільгоспмашини та обладнання, реконструкції складів для зберігання зерна, що пов’язано з розширенням посівних площ, з необхідністю оновлення техніки та збільшенням обсягів продукції, яка зберігається.</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9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ознайомлення керівників сільськогосподарських підприємств громади з Програмою підтримки України від уряду США «Lend-lease» Сквирською міською радою організовано зустріч аграріїв з уповноваженими представниками компаній «BROCK» США і ТОВ «АГСОЛКО Україна» та доведено до відома аграріїв інформацію щодо можливості будівництва зернових елеваторів в рамках Програми.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у Програмі підтримки аграріїв України 15 сільськогосподарських підприємств громади подали заявки і опитувальні листи до керівників компаній для відображення потреби підприємств в тому чи іншому обладнанні Brock.</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Суб’єктів господарювання та населення ознайомлювали з інформаціями та механізмами участі у конкурсах на отримання грантів для створення власного бізнесу, розвитку садівництва, ягідництва, виноградарства чи тепличного господарства.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продовольчої безпеки навесні 2022 року в громаді впроваджувалась громадська ініціатива «Сади Перемоги», завдяки якій були висаджені 4000 саджанців плодових дерев, надані ТОВ «Агрофірма Колос».</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зв’язку з веденням бойових дій в Україні і безпосередньо обстрілів портів, нафтопереробних заводів та інших об’єктів критичної інфраструктури під час посівної кампанії 2022 року аграрні підприємства мали проблеми з браком обігових коштів, дефіцитом пального, добрив та ціни на них. Незважаючи на це посів сільськогосподарських культур підприємствами громади проведено вчасно та в повному обсязі.</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Сільськогосподарськими підприємствами Сквирської міської територіальної громади вчасно проведено роботи по збиранню зернових, зернобобових та технічних культур. Всього за 2022 рік обмолочено 18,7 тис. га зернових та зернобобових культур, намолочено 64,5 тис. тонн при урожайності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34,5 ц/га, в тому числі озимої та ярої пшениці з площі 8218 га намолочено 27,4 тис. тонн, при урожайності 33,0 ц/га, гречки намолочено 328 тонн, урожайність 7,84 ц/га, кукурудзи на зерно зібрано з площі  8,1 тис. га, валовий збір склав  30,8 тис. тонн при урожайності  38,0 ц/га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Цукрові буряки викопано </w:t>
      </w:r>
      <w:r w:rsidDel="00000000" w:rsidR="00000000" w:rsidRPr="00000000">
        <w:rPr>
          <w:rFonts w:ascii="Times New Roman" w:cs="Times New Roman" w:eastAsia="Times New Roman" w:hAnsi="Times New Roman"/>
          <w:sz w:val="28"/>
          <w:szCs w:val="28"/>
          <w:rtl w:val="0"/>
        </w:rPr>
        <w:t xml:space="preserve">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площі 1710 га, накопано 62,1 тис. тон при урожайності  363,2 ц/га; сої </w:t>
      </w:r>
      <w:r w:rsidDel="00000000" w:rsidR="00000000" w:rsidRPr="00000000">
        <w:rPr>
          <w:rFonts w:ascii="Times New Roman" w:cs="Times New Roman" w:eastAsia="Times New Roman" w:hAnsi="Times New Roman"/>
          <w:sz w:val="28"/>
          <w:szCs w:val="28"/>
          <w:rtl w:val="0"/>
        </w:rPr>
        <w:t xml:space="preserve">зібрано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площі 2979 га, намолочено 4,52 тис. тон</w:t>
      </w:r>
      <w:r w:rsidDel="00000000" w:rsidR="00000000" w:rsidRPr="00000000">
        <w:rPr>
          <w:rFonts w:ascii="Times New Roman" w:cs="Times New Roman" w:eastAsia="Times New Roman" w:hAnsi="Times New Roman"/>
          <w:sz w:val="28"/>
          <w:szCs w:val="28"/>
          <w:rtl w:val="0"/>
        </w:rPr>
        <w:t xml:space="preserve"> при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урожайн</w:t>
      </w:r>
      <w:r w:rsidDel="00000000" w:rsidR="00000000" w:rsidRPr="00000000">
        <w:rPr>
          <w:rFonts w:ascii="Times New Roman" w:cs="Times New Roman" w:eastAsia="Times New Roman" w:hAnsi="Times New Roman"/>
          <w:sz w:val="28"/>
          <w:szCs w:val="28"/>
          <w:rtl w:val="0"/>
        </w:rPr>
        <w:t xml:space="preserve">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15,2 ц/га</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соняшника на площі 9492 га зібрано 17,6 тис. тон при урожайн</w:t>
      </w:r>
      <w:r w:rsidDel="00000000" w:rsidR="00000000" w:rsidRPr="00000000">
        <w:rPr>
          <w:rFonts w:ascii="Times New Roman" w:cs="Times New Roman" w:eastAsia="Times New Roman" w:hAnsi="Times New Roman"/>
          <w:sz w:val="28"/>
          <w:szCs w:val="28"/>
          <w:rtl w:val="0"/>
        </w:rPr>
        <w:t xml:space="preserve">ості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18,5 ц/га.</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Випробування несприятливими погодними умовами </w:t>
      </w:r>
      <w:r w:rsidDel="00000000" w:rsidR="00000000" w:rsidRPr="00000000">
        <w:rPr>
          <w:rFonts w:ascii="Times New Roman" w:cs="Times New Roman" w:eastAsia="Times New Roman" w:hAnsi="Times New Roman"/>
          <w:sz w:val="28"/>
          <w:szCs w:val="28"/>
          <w:highlight w:val="whit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відсутність опадів та посуха у 2022 році)  спричинило значну втрату продуктивності озимих культур і відповідне зниження врожайності осінніх культур. Найбільше постраждали кукурудза, соя,  соняшник. Через відсутність опадів значна площа посівів кукурудзи не досягла фази формування початку качана, тому не підлягала збору на зерно або була переведена в кормову.</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вересні – жовтні підприємствами проведено посів під урожай 2023 року озимих зернових та ріпаку згідно запланованих обсягів. Всього посів проведено на площі 11133 га, в тому числі озимої пшениці посіяно 5722 га, ячменю  1294 га,  жита 52 га, ріпаку  4065 га. Здійснена зяблева підготовка грунту під посів ярих культур, виорано  10,4 тис. га. До зведення та узагальнення взято оперативну інформацію 24 агропідприємств, що обробляють від 500 га і більше посівних площ.</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Енергоефективність.</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Найважливіші завданнями Сквирської міської територіальної громади в сфері енергоефективності є утеплення фасадів, заміна віконних та дверних блоків на енергозберігаючі, заміна котельного обладнання на альтернативні види палива в закладах освіти, культури та охорони здоров’я, реконструкція мереж  зовнішнього освітлення населених пунктів. </w:t>
      </w:r>
      <w:r w:rsidDel="00000000" w:rsidR="00000000" w:rsidRPr="00000000">
        <w:rPr>
          <w:rFonts w:ascii="Times New Roman" w:cs="Times New Roman" w:eastAsia="Times New Roman" w:hAnsi="Times New Roman"/>
          <w:sz w:val="28"/>
          <w:szCs w:val="28"/>
          <w:rtl w:val="0"/>
        </w:rPr>
        <w:t xml:space="preserve">В зв’язку з військовим станом в Україні роботи з утеплення фасадів, заміни віконних та дверних блоків на енергозберігаючі не проводилися через неможливість їх профінансувати.</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gr852kpl5f8k" w:id="1"/>
      <w:bookmarkEnd w:id="1"/>
      <w:r w:rsidDel="00000000" w:rsidR="00000000" w:rsidRPr="00000000">
        <w:rPr>
          <w:rFonts w:ascii="Times New Roman" w:cs="Times New Roman" w:eastAsia="Times New Roman" w:hAnsi="Times New Roman"/>
          <w:sz w:val="28"/>
          <w:szCs w:val="28"/>
          <w:rtl w:val="0"/>
        </w:rPr>
        <w:t xml:space="preserve">З метою встановлення цільових обсягів споживання енергоносіїв, відповідно до пункту 3 статті 51 Бюджетного Кодексу України, Закону України «Про енергозбереження» та врахувавши пропозиції головних розпорядників та одержувачів бюджетних коштів, рішенням виконавчого комітету Сквирської міської ради від 07 грудня 2021 року №28/28 було затверджено ліміти споживання енергоносіїв у натуральних показниках головним розпорядникам та одержувачам бюджетних коштів, що фінансуються за рахунок бюджету Сквирської міської територіальної громади  на 2022 рік.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mo5kdiulg3ba" w:id="2"/>
      <w:bookmarkEnd w:id="2"/>
      <w:r w:rsidDel="00000000" w:rsidR="00000000" w:rsidRPr="00000000">
        <w:rPr>
          <w:rFonts w:ascii="Times New Roman" w:cs="Times New Roman" w:eastAsia="Times New Roman" w:hAnsi="Times New Roman"/>
          <w:sz w:val="28"/>
          <w:szCs w:val="28"/>
          <w:rtl w:val="0"/>
        </w:rPr>
        <w:t xml:space="preserve">Керівникам бюджетних установ було доручено проводити розрахунки за спожиті енергоносії у межах затверджених лімітів споживання та укладання договорів про відшкодування витрат на оплату комунальних послуг та енергоносіїв. Також керівників бюджетних установ зобов’язали забезпечити засобами обліку для всіх видів енергоносіїв та проведення систематичного контролю і аналізу стану енергоспоживання.</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bookmarkStart w:colFirst="0" w:colLast="0" w:name="_heading=h.uiyokrsbdjuv" w:id="3"/>
      <w:bookmarkEnd w:id="3"/>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highlight w:val="yellow"/>
        </w:rPr>
      </w:pPr>
      <w:bookmarkStart w:colFirst="0" w:colLast="0" w:name="_heading=h.drrw5wz8gbd6" w:id="4"/>
      <w:bookmarkEnd w:id="4"/>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vertAlign w:val="baseline"/>
        </w:rPr>
      </w:pPr>
      <w:bookmarkStart w:colFirst="0" w:colLast="0" w:name="_heading=h.lnfifia8bgw1"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На постійному контролі перебуває питання ефективного використання ресурсів та дотримання доведених лімітів споживання </w:t>
      </w:r>
      <w:r w:rsidDel="00000000" w:rsidR="00000000" w:rsidRPr="00000000">
        <w:rPr>
          <w:rFonts w:ascii="Times New Roman" w:cs="Times New Roman" w:eastAsia="Times New Roman" w:hAnsi="Times New Roman"/>
          <w:sz w:val="28"/>
          <w:szCs w:val="28"/>
          <w:rtl w:val="0"/>
        </w:rPr>
        <w:t xml:space="preserve">енергоносіїв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бюджетними установами та комунальними </w:t>
      </w:r>
      <w:r w:rsidDel="00000000" w:rsidR="00000000" w:rsidRPr="00000000">
        <w:rPr>
          <w:rFonts w:ascii="Times New Roman" w:cs="Times New Roman" w:eastAsia="Times New Roman" w:hAnsi="Times New Roman"/>
          <w:sz w:val="28"/>
          <w:szCs w:val="28"/>
          <w:rtl w:val="0"/>
        </w:rPr>
        <w:t xml:space="preserve">закладами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громади. Так, завдяки проведеному аудиту у</w:t>
      </w:r>
      <w:r w:rsidDel="00000000" w:rsidR="00000000" w:rsidRPr="00000000">
        <w:rPr>
          <w:rFonts w:ascii="Times New Roman" w:cs="Times New Roman" w:eastAsia="Times New Roman" w:hAnsi="Times New Roman"/>
          <w:sz w:val="28"/>
          <w:szCs w:val="28"/>
          <w:rtl w:val="0"/>
        </w:rPr>
        <w:t xml:space="preserve"> 2022 році закладами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освіти вдалось </w:t>
      </w:r>
      <w:r w:rsidDel="00000000" w:rsidR="00000000" w:rsidRPr="00000000">
        <w:rPr>
          <w:rFonts w:ascii="Times New Roman" w:cs="Times New Roman" w:eastAsia="Times New Roman" w:hAnsi="Times New Roman"/>
          <w:sz w:val="28"/>
          <w:szCs w:val="28"/>
          <w:rtl w:val="0"/>
        </w:rPr>
        <w:t xml:space="preserve">скоротити, </w:t>
      </w:r>
      <w:r w:rsidDel="00000000" w:rsidR="00000000" w:rsidRPr="00000000">
        <w:rPr>
          <w:rFonts w:ascii="Times New Roman" w:cs="Times New Roman" w:eastAsia="Times New Roman" w:hAnsi="Times New Roman"/>
          <w:sz w:val="28"/>
          <w:szCs w:val="28"/>
          <w:rtl w:val="0"/>
        </w:rPr>
        <w:t xml:space="preserve">порівняно із 2021 роком, витрачання електроенергії, теплової енергії, води в натуральних показниках, що дало економію бюджетних коштів. У</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КНП СМР Сквирська ЦМЛ за 2022 рік  дося</w:t>
      </w:r>
      <w:r w:rsidDel="00000000" w:rsidR="00000000" w:rsidRPr="00000000">
        <w:rPr>
          <w:rFonts w:ascii="Times New Roman" w:cs="Times New Roman" w:eastAsia="Times New Roman" w:hAnsi="Times New Roman"/>
          <w:sz w:val="28"/>
          <w:szCs w:val="28"/>
          <w:rtl w:val="0"/>
        </w:rPr>
        <w:t xml:space="preserve">гнуто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економі</w:t>
      </w:r>
      <w:r w:rsidDel="00000000" w:rsidR="00000000" w:rsidRPr="00000000">
        <w:rPr>
          <w:rFonts w:ascii="Times New Roman" w:cs="Times New Roman" w:eastAsia="Times New Roman" w:hAnsi="Times New Roman"/>
          <w:sz w:val="28"/>
          <w:szCs w:val="28"/>
          <w:rtl w:val="0"/>
        </w:rPr>
        <w:t xml:space="preserve">ї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споживання теплової енергії, електроенергії, обсягу послуг з централізованого водовідведення</w:t>
      </w:r>
      <w:r w:rsidDel="00000000" w:rsidR="00000000" w:rsidRPr="00000000">
        <w:rPr>
          <w:rFonts w:ascii="Times New Roman" w:cs="Times New Roman" w:eastAsia="Times New Roman" w:hAnsi="Times New Roman"/>
          <w:sz w:val="28"/>
          <w:szCs w:val="28"/>
          <w:rtl w:val="0"/>
        </w:rPr>
        <w:t xml:space="preserve">. У 2022 році зменшено споживання електричної енергії та природного газу закладами культури. Загалом економія  теплової енергії склала у 2022 році порівняно із 2021 роком 1478,4 Гкал.,  економія електричної енергії  - 23489,0 кВт.,  природного газу спожито менше на 4054,3 куб.м., обсяг послуг з централізованого водовідведення зменшено на 10572 куб. м.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реконструкції та відновлення мереж вуличного освітлення в населених пунктах громади протягом 2022 року за кошти міського бюджету проведено поточні ремонти мереж зовнішнього освітлення (заміна ламп, таймерів, автоматичних вимикачів, драйверів, кабелю тощо) на загальну суму 94,3 тис. гривень. Роботи проводились в м.Сквира та селах територіальної громади. Разом з тим, на забезпечення вуличного освітлення громади (електроенергія) використано 811,2 тис. гривень.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Транспорт та дорожнє господарство.</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Дороги в межах Сквирської міської територіальної громади обслуговують такі дорожні служби: підрозділ Сквира №6 ДП «Київський облавтодор», ТОВ «Дорбудмеханізація», КП «Сквираблагоустрій».</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Питання стану експлуатаційного утримання вулично-шляхових мереж знаходиться на постійному контролі Сквирської міської ради.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22.12.2020 №16-3-VІІІ затверджена Програма утримання та розвитку дорожнього господарства Сквирської міської територіальної громади на 2021-2025 роки, на фінансування якої в бюджеті Сквирської міської територіальної громади на 2022 рік передбачені кошти в сумі 3050,0 тис. гривень. Протягом  2022 року Програму  профінансовано на 3017,5 тис. грн, в тому числі на проведення поточного ремонту дорожнього покриття</w:t>
      </w:r>
      <w:r w:rsidDel="00000000" w:rsidR="00000000" w:rsidRPr="00000000">
        <w:rPr>
          <w:rFonts w:ascii="Times New Roman" w:cs="Times New Roman" w:eastAsia="Times New Roman" w:hAnsi="Times New Roman"/>
          <w:sz w:val="28"/>
          <w:szCs w:val="28"/>
          <w:rtl w:val="0"/>
        </w:rPr>
        <w:t xml:space="preserve"> виділено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1714,4 тис. гривень.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рішення виконавчого комітету Сквирської міської ради за звітний період проведено</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поточний ремонт дорожнього покриття білощебеневою сумішшю таких вулиць:</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Короленка в м. Сквира протяжністю 300 м (вартість робіт 191 371,20 грн);</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Вишнева в м. Сквира  — 290 м (вартість робіт 166 388,18 грн);</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Лесі Українки в м. Сквира — 300 м (вартість робіт 167 990,40 грн);</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Некрасова в м. Сквира  — 300 м (вартість робіт 170 813,59 грн);</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Партизанська в с. Дулицьке — 680 м  (вартість робіт 167 900,00 грн);</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поточний ремонт дорожнього покриття асфальтуванням таких вулиць: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Максима Рильського в м. Сквира —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50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(вартість робіт до 218 131,15 грн);</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Липовецька в м. Сквира  —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50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(вартість робіт до 381 782,41 грн);</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Червона площа – 226,7 кв.м (вартість 249 991,21 гривень).</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проведення капітальних ремонтів доріг виготовлено проєктно-кошторисну документацію та отримано експертні звіти на капітальний ремонт дорожнього покриття по вулицях Лівобережна, Шевченка, Польова, Новоселецька, Кобзаря, Папаніна в м.Сквира, вул.Революційна в с.Кривошиїнці, вул.Партизанська та вул.Шкільна в с.Дулицьке.</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за кошти міського бюджету проведено капітальний ремонт дорожнього покриття по вул.Лівобережна від будинку №60 до перехрестя з вул.Польова в м.Сквира (879,1 тис. гривень).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et92p0" w:id="8"/>
      <w:bookmarkEnd w:id="8"/>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Розвиток підприємництва.</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70c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Мікро-, малі та середні підприємства становлять більшу частину у структурі економіки 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воєнного стану роботодавці мали змогу отримати компенсацію витрат на оплату за працевлаштування внутрішньо переміщених осіб внаслідок бойових дій під час воєнного стану. Станом на 01.01 2023 року до Сквирської районної філії КОЦЗ було надано 26 пакетів документів від роботодавців району. По 39 особам винесено позитивне рішення та виплачено 507000 гривень</w:t>
      </w:r>
      <w:r w:rsidDel="00000000" w:rsidR="00000000" w:rsidRPr="00000000">
        <w:rPr>
          <w:rFonts w:ascii="Times New Roman" w:cs="Times New Roman" w:eastAsia="Times New Roman" w:hAnsi="Times New Roman"/>
          <w:b w:val="0"/>
          <w:i w:val="0"/>
          <w:smallCaps w:val="0"/>
          <w:strike w:val="0"/>
          <w:color w:val="0070c0"/>
          <w:sz w:val="28"/>
          <w:szCs w:val="28"/>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станом на 01.01.2023 року, в громаді зареєстровано 1888 суб’єктів підприємницької діяльності, з них - 729 юридичних осіб,</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1159 - фізичних осіб- підприємців. В громаді налічується 727 прибуткових підприємств.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Сума надходжень до бюджетів усіх рівнів від суб’єктів малого та середнього  підприємства за 2022 рік становить 469,9 млн. гривень.</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передумов економічного розвитку є якісна інфраструктура підтримки підприємництва. Станом на 01.01.2023 року у громаді функціонує 11 об’єктів інфраструктури підтримки підприємництва (суб’єкти господарської діяльності, які надають бухгалтерські, юридичні та фінансові послуги), а також інформаційно-консультативні послуги суб’єктам підприємницької діяльності надають адміністратори та державні реєстратори Центру надання адміністративних послуг, Сквирської районної філії Київського обласного центру зайнятості.</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Інвестиційна діяльність.</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вживаються заходи щодо поліпшення інвестиційної привабливості громади та збільшення обсягів надходжень вітчизняних та іноземних інвестицій. Проте, у зв’язку із погіршенням фінансового стану підприємств через уповільнення ділової активності, а також обмежені обсяги кредитування банківськими структурами реального сектору економіки спостерігається тенденція до значного падіння обсягів капітальних інвестицій, освоєних підприємствами та організаціями в усіх областях України.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позитивного іміджу, підвищення інвестиційної привабливості Сквирської міської радою формується база вільних земельних ділянок та об’єктів незавершеного будівництва, які пропонуються інвесторам.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капітального будівництва, комунального власності та ЖКГ затверджено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Затвердженими переліками, станом на 01.01.2023 року охоплено 95 об’єктів нерухомого майна. В електронній торговій системі, через особистий кабінет організатора оренди, внесена інформація по об’єктах, щодо яких </w:t>
      </w:r>
      <w:r w:rsidDel="00000000" w:rsidR="00000000" w:rsidRPr="00000000">
        <w:rPr>
          <w:rFonts w:ascii="Times New Roman" w:cs="Times New Roman" w:eastAsia="Times New Roman" w:hAnsi="Times New Roman"/>
          <w:sz w:val="28"/>
          <w:szCs w:val="28"/>
          <w:rtl w:val="0"/>
        </w:rPr>
        <w:t xml:space="preserve">прийняті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відповідні рішення. Опрацьовано 69 електронних заяв від потенційних орендарів.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новою процедурою передачі майна в оренду без проведення електронних аукціонів станом на 01.01.2023 забезпечено укладання 23 договорів оренди з підприємствами, установами, організаціями, які фінансуються за рахунок місцевого бюджету. Відповідно, інформаційно розміщено повідомлення про передачу об’єктів нерухомого майна без проведення аукціону на сайті міської ради. Триває робота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опрацювання відомостей щодо об’єктів, включених до переліку другого типу (без проведення аукціону) та підготовка договорів для їх укладання.</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формовано реєстр </w:t>
      </w:r>
      <w:r w:rsidDel="00000000" w:rsidR="00000000" w:rsidRPr="00000000">
        <w:rPr>
          <w:rFonts w:ascii="Times New Roman" w:cs="Times New Roman" w:eastAsia="Times New Roman" w:hAnsi="Times New Roman"/>
          <w:sz w:val="28"/>
          <w:szCs w:val="28"/>
          <w:rtl w:val="0"/>
        </w:rPr>
        <w:t xml:space="preserve">діючих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договорів оренди, щомісячно опрацьовується аналіз сплати за такими договорами та відповідно стан надходжень орендної плати до міського бюджету.Підготовлено 50 проєктів договорів господарського відання та оперативного управління майном.</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Забезпечено та опрацьована вся необхідна інформація для початку проведення електронних аукціонів. Підготовлено 59 оголошень про передачу майна комунальної власності через аукціон, які розміщено в електронній торговій системі, з них 56 аукціонів відбулися успішно та по яких процедура завершена.</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Затверджено перелік об’єктів комунальної власності Сквирської міської територіальної громади, що підлягають приватизації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у 2022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році шляхом продажу на аукціонах, до переліку включено 23 об’єкти нерухомого майна та опубліковано на офіційному сайті.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Один </w:t>
      </w:r>
      <w:r w:rsidDel="00000000" w:rsidR="00000000" w:rsidRPr="00000000">
        <w:rPr>
          <w:rFonts w:ascii="Times New Roman" w:cs="Times New Roman" w:eastAsia="Times New Roman" w:hAnsi="Times New Roman"/>
          <w:sz w:val="28"/>
          <w:szCs w:val="28"/>
          <w:rtl w:val="0"/>
        </w:rPr>
        <w:t xml:space="preserve">об'єкт</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малої приватиза</w:t>
      </w:r>
      <w:r w:rsidDel="00000000" w:rsidR="00000000" w:rsidRPr="00000000">
        <w:rPr>
          <w:rFonts w:ascii="Times New Roman" w:cs="Times New Roman" w:eastAsia="Times New Roman" w:hAnsi="Times New Roman"/>
          <w:sz w:val="28"/>
          <w:szCs w:val="28"/>
          <w:rtl w:val="0"/>
        </w:rPr>
        <w:t xml:space="preserve">ції - нежитлова будівля (аптека), що розташований в с.Великополовецьке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продано на аукціоні </w:t>
      </w:r>
      <w:r w:rsidDel="00000000" w:rsidR="00000000" w:rsidRPr="00000000">
        <w:rPr>
          <w:rFonts w:ascii="Times New Roman" w:cs="Times New Roman" w:eastAsia="Times New Roman" w:hAnsi="Times New Roman"/>
          <w:sz w:val="28"/>
          <w:szCs w:val="28"/>
          <w:rtl w:val="0"/>
        </w:rPr>
        <w:t xml:space="preserve">за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166485 гривень</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Відділом підготовлено та передано на переоцінку 29  інвентарних справ по об’єктах нерухомого майна комунальної власності, які потребували здійснення переоцінки майнової вартості та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визначення ринкової вартості нерухомого майна.</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59"/>
        </w:tabs>
        <w:spacing w:after="0" w:before="0" w:line="240" w:lineRule="auto"/>
        <w:ind w:left="0" w:right="21"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Зовнішньоекономічна діяльність.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громаді розвиваються експортоорієнтовані підприємства, які здійснюють зовнішньоторговельні операції з партнерами близько 80 країн світу: Німеччина, Ізраїль, США, Куба, Казахстан, Киргизстан, Туркменістан, Азербайджан, Грузія, Вірменія, Молдова, Єгипет, ПАР, Угорщина, Польща, Португалія, Китай, Канада, Корея, Іспанія, Корея, Індія, Великобританія, Греція, Туреччина, ОАЕ, Сінгапур та інші. Основу товарної структури експорту промислових підприємств громади від загального експорту складають товари харчової промисловості та текстильні вироби.</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Проєкти міжнародної технічної допомоги на території Сквирської міської територіальної громади у 2022 році не реалізовувалися.</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Фінансова самодостатність.</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Вторгнення росії, спричинивши масову міграцію та зупинку бізнесу, завдало значного удару по місцевих бюджетах.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Попри виклики, Сквирській міській раді вдалося втримати контрольованість протягом перших та наступних місяців війни, забезпечивши до загального фонду бюджету Сквирської міської територіальної громади за 2022 рік 303 026,9 тис.грн, що становить 107,7% до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планових призначень на відповідний період.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(без урахування трансфертів) фактично надійшло 210 868,8 тис. грн, що становить 112,3% виконання до планового показника доходів на відповідний період. Порівняно до надходжень 2021 року  надходження за  2022 рік збільшились на  17 050,4 тис. гривень. Темп росту фактичних надходжень за 2022 рік до надходжень 2021 року становить 108,8%.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надходжень  доходів загального фонду найбільшу питому вагу займає податок на доходи фізичних осіб – 67,1%, єдиний податок – 18,7%, плата за землю – 8,2%, інші види надходжень займають незначне місце і становлять 6,0%.</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джерелом  надходжень до загального фонду є податок з доходів фізичних осіб. Фактичні надходження по цьому податку за  2022 рік складають 141 405,9 тис. грн, що становить 116,6% до  плану на відповідний період. Порівняно з  надходженнями 2021 року   сума надходжень по податку з доходів фізичних осіб збільшилась  на 19 782,6 тис. гривень. Темп росту фактичних надходжень цього податку за 2022 рік до надходжень   2021 року становить 116,3%.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по платі за землю за  2022 рік складають 17 274,9 тис. грн, що становить 91,2% до  плану на відповідний період. Порівняно з  надходженнями   2021 року   сума надходжень по платі за землю  зменшилась   на 1 590,5 тис. гривень.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Фактичні надходження єдиного податку за   2022 рік склали 39 436,3 тис. грн, що становить 112,4% до плану на відповідний період та на 1 521,2 тис. грн більше фактичних надходжень 2021 року.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загального фонду бюджету Сквирської міської територіальної громади за 2022 рік надійшли трансферти в сумі 92 158,1 тис. гривень. З державного бюджету надійшла освітня субвенція в сумі 89 468,2 тис. гривень. Дотація з обласного бюджету на здійснення переданих з державного бюджету видатків з утримання закладів освіти та охорони здоров’я – 1 725,6 тис. гривень. Субвенції з місцевих бюджетів  складають 964,3 тис. грн, з них 100,0 тис. грн від Фурсівської громади на утримання </w:t>
      </w:r>
      <w:r w:rsidDel="00000000" w:rsidR="00000000" w:rsidRPr="00000000">
        <w:rPr>
          <w:rFonts w:ascii="Times New Roman" w:cs="Times New Roman" w:eastAsia="Times New Roman" w:hAnsi="Times New Roman"/>
          <w:sz w:val="28"/>
          <w:szCs w:val="28"/>
          <w:rtl w:val="0"/>
        </w:rPr>
        <w:t xml:space="preserve">престарілих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осіб.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Надходження спеціального фонду - 12 468,0 тис. грн, які складаються з екологічного податку – 145,7 тис. грн, грошових стягнень за шкоду – 152,6 тис. грн, власних надходжень бюджетних установ – 5 664,0 тис. грн та коштів від продажу землі та відчуження майна  – 6 505,7 тис. грн (відчуження майна – 167,8 тис. грн; продаж земельної ділянки несільськогосподарського призначення 4 650,0 тис. грн; викуп земельної ділянки сільськогосподарського призначення – 1 875,5 тис. грн).</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Видаткова частина бюджету громади за загальним та спеціальним фондами  виконана на суму 282 305,8 тис.грн, що становить 91,6% до бюджетних призначень на рік.</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Структура видатків розподілена наступним чином:</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Освіта – 179 138,3 тис.грн;</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Державне управління – 35 876,6 тис.грн;</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Соціальний захист – 15 202,5 тис.грн;</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Охорона здоров’я - 12 653,8 тис.грн;</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Культура – 11 751,4 тис.грн;</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1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Фізична культура і спорт – 2 893,1 тис.грн.</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структурі здійснених видатків за 2022 рік найбільшу питому вагу займає:</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заробітна плата з нарахуваннями 214 511,7 тис.грн (76%);</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оплата енергоносіїв та комунальних послуг 32 768,8 тис.грн (11,6%);</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інші поточні видатки 18 188,5 тис.грн (6,4%) - незахищені статті видатків по оплаті товарів і послуг;</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капітальні видатки 10 472,6 тис.грн (3,7%);</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поточні трансферти населенню 4 275,6 тис.грн (1,5%);</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придбання продуктів харчування 2 088,6 тис.грн (0,8%).</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Міжбюджетні трансферти з бюджету громади надані державному бюджету на суму 709,9 тис.грн, у тому числі для підтримки місцевого підрозділу відділення поліції №1 на придбання службового автомобіля поліцейському офіцеру громади 610,0 тис.грн, для придбання паливно-мастильних матеріалів 99,9 тис. гривень.</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 Соціальна сфера.</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Ринок праці.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за послугами до Сквирської районної </w:t>
      </w:r>
      <w:r w:rsidDel="00000000" w:rsidR="00000000" w:rsidRPr="00000000">
        <w:rPr>
          <w:rFonts w:ascii="Times New Roman" w:cs="Times New Roman" w:eastAsia="Times New Roman" w:hAnsi="Times New Roman"/>
          <w:sz w:val="28"/>
          <w:szCs w:val="28"/>
          <w:rtl w:val="0"/>
        </w:rPr>
        <w:t xml:space="preserve">філії Київського обласного центру зайнятості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для отримання статусу безробітного звернулася 486 осіб, загалом </w:t>
      </w:r>
      <w:r w:rsidDel="00000000" w:rsidR="00000000" w:rsidRPr="00000000">
        <w:rPr>
          <w:rFonts w:ascii="Times New Roman" w:cs="Times New Roman" w:eastAsia="Times New Roman" w:hAnsi="Times New Roman"/>
          <w:sz w:val="28"/>
          <w:szCs w:val="28"/>
          <w:rtl w:val="0"/>
        </w:rPr>
        <w:t xml:space="preserve">протягом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2022 року на обліку в районній службі зайнятості перебувало 788 безробітних особи, в тому числі на обліку перебувало 49 внутрішньо переміщених осіб, 18 військовослужбовців, які звільнилися з зони АТО, та 99 осіб, які мають додаткові гарантії у працевлаштуванні. Станом на 01.01.2023 року на обліку в Сквирській районній філії перебуває 165 безробітних особи, допомогу по безробіттю станом на звітну дату отримує 123 особи. </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Порядку надання роботодавцю компенсації витрат на оплату праці за працевлаштування внутрішньо переміщених осіб України внаслідок проведення бойових дій під час воєнного стану в Україні, затвердженого постановою Кабінету Міністрів України від 20 березня 2022 р. №331 Сквирською районною філією Київського ОЦЗ прийнято 26 пакетів документів щодо виплати роботодавцям компенсації за працевлаштування 39 внутрішньо переміщених осіб, з них 11 безробітних.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Київського обласного центру зайнятості надано 13 роботодавцям (ТОВ Фірма «Грона», ТОВ «Шамраївський цукор», ПП «Агрофірма «Розволожжя», ТОВ «Сквирський КХП», КП «Сквир-водоканал», ФОП Тертичний О.А., ФОП Бондарчук Т.М. ФОП Ільченко С.А., ФОП Асламович Г.В., ТОВ «Сквиратекс», ФОП Бондарчук М.М., ФОП Собуцька С.Г., ТОВ «Агрофірма «Колос») компенсацію витрат на оплату праці за працевлаштування 39 внутрішньо переміщених осіб  на суму 507000 гривень.</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Із 329 вакансій в звітному періоді центр</w:t>
      </w:r>
      <w:r w:rsidDel="00000000" w:rsidR="00000000" w:rsidRPr="00000000">
        <w:rPr>
          <w:rFonts w:ascii="Times New Roman" w:cs="Times New Roman" w:eastAsia="Times New Roman" w:hAnsi="Times New Roman"/>
          <w:sz w:val="28"/>
          <w:szCs w:val="28"/>
          <w:rtl w:val="0"/>
        </w:rPr>
        <w:t xml:space="preserve">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зайнятості укомплектовано 266</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вакансій. Рівень укомплектування вакансій у 2022 році становить 80,9%. (у 2021 році із 712 вакансій за сприянням центру зайнятості укомплектовано 578 вакансій, </w:t>
      </w:r>
      <w:r w:rsidDel="00000000" w:rsidR="00000000" w:rsidRPr="00000000">
        <w:rPr>
          <w:rFonts w:ascii="Times New Roman" w:cs="Times New Roman" w:eastAsia="Times New Roman" w:hAnsi="Times New Roman"/>
          <w:sz w:val="28"/>
          <w:szCs w:val="28"/>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івень укомплектування вакансій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по працевлаштуванню громадян в певній мірі залежить від своєчасної та в повному обсязі поданої роботодавцями інформації про наявність вільних робочих місць на підприємствах </w:t>
      </w:r>
      <w:r w:rsidDel="00000000" w:rsidR="00000000" w:rsidRPr="00000000">
        <w:rPr>
          <w:rFonts w:ascii="Times New Roman" w:cs="Times New Roman" w:eastAsia="Times New Roman" w:hAnsi="Times New Roman"/>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сезонної зайнятості в сільськогосподарському виробництві. </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Безробітним громадянам, професії яких не користуються попитом на ринку праці, пропонувалось змінити професію, набути нову або суміжну, підвищити рівень кваліфікації. Протягом 2022 року професійне навчання проходило 15 безробітних осіб.</w:t>
      </w:r>
      <w:r w:rsidDel="00000000" w:rsidR="00000000" w:rsidRPr="00000000">
        <w:rPr>
          <w:rFonts w:ascii="Times New Roman" w:cs="Times New Roman" w:eastAsia="Times New Roman" w:hAnsi="Times New Roman"/>
          <w:sz w:val="28"/>
          <w:szCs w:val="28"/>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рофесійне навчання безробітних здійснювалось за актуальними на ринку праці професіями та спеціальностями: продавець-консультант, слюсар-ремонтник, кухар, експедитор, бухгалтер, сторож та інші. Для навчання безробітних використовувались різні форми і методи, а саме</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індивідуальними планами та програмами, курси цільового призначення, стажування  на конкретних посадах, або робочих місцях підприємств</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Потреби роботодавців у тимчасовій робочій силі служба зайнятості задовольняє шляхом організації громадських робіт,  інших робіт тимчасового характеру за рахунок роботодавців та суспільно-корисних робіт. Упродовж 2022 року виявили бажання та прийняли участь у роботах тимчасового характеру 3 особи з числа безробітних громадян, у суспільно-корисних роботах взяли участь 14 осіб, з них 1 особа - з числа ВПО, (у  2021 році - 11 осіб були залучені до громадських та інших робіт тимчасового характеру). Безробітні працювали на роботах по прибиранню територій, виробничих приміщень, складів підприємств, виконували підсобні та допоміжні роботи.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Соціальний захист населення.</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2022 року робота б</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ула направлена на згуртування жителів громади у спільній боротьбі проти агресора та допомозі громадянам, які перемістилися до Сквирської міської територіальної громади із зон ведення активних бойових дій. На кінець 2022 року в громаді проживало 4088 внутрішньо переміщених осіб. Для отримання статусу та допомоги на проживання ВПО переважна більшість громадян скористалася сервісом ЦНАПу, решта-застосунком «Дія».</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вирішення соціально-побутових проблем ВПО на території громади було створено гуманітарний штаб, де першочергово вирішуються питання, забезпечення продуктами харчування, засобами гігієни, одягом та взуттям, тощо. Тимчасово внутрішньо переміщені особи двічі на місяць отримують продуктові набори, в штабі сформовано двомісячний запас продуктів харчування.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в гуманітарному штабі для ВПО, які проживають на території громади було видано більше 60 тон гуманітарної допомоги, отриманої від Київської обласної військової адміністрації, Білоцерківської районної військової адміністрації, обласного гуманітарного штабу,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міжнародних організацій UNICEF, «GoodWill», World Central Kitchen», медичного корпусу, який співпрацює з UMC Ukraine Medical Consortium IRM Polish Institute for Emergency Medicine,</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 цьому не враховано  допомогу, яка надавалася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представниками Товариства Червоного Хреста України, місцевими волонтерами  та жителями громади.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2022 року отримували гуманітарну допомогу у вигляді продуктів харчування.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гуртожитку навчального закладу освіти ДНЗ «Сквирське ВПУ» для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тимчасового проживання ВПО надано місця для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внутрішньо переміщених осіб. Для них створені належні житлово-побутові умови та доступ до  мережі Інтернет.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умови проведення робіт по облаштуванню приміщень та забезпечення необхідними меблями в навчальному закладі можливо розгорнути біля 60 додаткових місць. Проводиться робота з пошуку можливостей для розміщення додаткових місць тимчасового транзитного перебування.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 Сквирській міській раді </w:t>
      </w:r>
      <w:r w:rsidDel="00000000" w:rsidR="00000000" w:rsidRPr="00000000">
        <w:rPr>
          <w:rFonts w:ascii="Times New Roman" w:cs="Times New Roman" w:eastAsia="Times New Roman" w:hAnsi="Times New Roman"/>
          <w:sz w:val="28"/>
          <w:szCs w:val="28"/>
          <w:rtl w:val="0"/>
        </w:rPr>
        <w:t xml:space="preserve">створено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робочу групу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 Протягом року проведено 4 засідання.</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надскладних умовах воєнного стану для реалізації заходів, передбачених місцевими програмами, на соціальні виплати з місцевого бюджету у 2022 році було спрямовано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4310042,75 гривень.</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380"/>
        </w:tabs>
        <w:spacing w:after="0" w:before="0" w:line="240" w:lineRule="auto"/>
        <w:ind w:left="0" w:right="0" w:firstLine="28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tl w:val="0"/>
        </w:rPr>
      </w:r>
    </w:p>
    <w:tbl>
      <w:tblPr>
        <w:tblStyle w:val="Table1"/>
        <w:tblW w:w="9900.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10"/>
        <w:gridCol w:w="1545"/>
        <w:gridCol w:w="1545"/>
        <w:tblGridChange w:id="0">
          <w:tblGrid>
            <w:gridCol w:w="6810"/>
            <w:gridCol w:w="1545"/>
            <w:gridCol w:w="1545"/>
          </w:tblGrid>
        </w:tblGridChange>
      </w:tblGrid>
      <w:tr>
        <w:trPr>
          <w:cantSplit w:val="0"/>
          <w:tblHeader w:val="0"/>
        </w:trPr>
        <w:tc>
          <w:tcPr>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Програми:</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Кількість</w:t>
            </w:r>
            <w:r w:rsidDel="00000000" w:rsidR="00000000" w:rsidRPr="00000000">
              <w:rPr>
                <w:rtl w:val="0"/>
              </w:rPr>
            </w:r>
          </w:p>
        </w:tc>
        <w:tc>
          <w:tcPr>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Сума, грн</w:t>
            </w:r>
            <w:r w:rsidDel="00000000" w:rsidR="00000000" w:rsidRPr="00000000">
              <w:rPr>
                <w:rtl w:val="0"/>
              </w:rPr>
            </w:r>
          </w:p>
        </w:tc>
      </w:tr>
      <w:tr>
        <w:trPr>
          <w:cantSplit w:val="0"/>
          <w:tblHeader w:val="0"/>
        </w:trPr>
        <w:tc>
          <w:tcP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громадянам, які опинилися в складних життєвих обставинах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284 чол.</w:t>
            </w:r>
          </w:p>
        </w:tc>
        <w:tc>
          <w:tcPr>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601000,00</w:t>
            </w:r>
          </w:p>
        </w:tc>
      </w:tr>
      <w:tr>
        <w:trPr>
          <w:cantSplit w:val="0"/>
          <w:tblHeader w:val="0"/>
        </w:trPr>
        <w:tc>
          <w:tcPr>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Надання одноразової грошової допомоги військовослужбовцям, призваним на військову службу під час мобілізації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507 чол.</w:t>
            </w:r>
          </w:p>
        </w:tc>
        <w:tc>
          <w:tcPr>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1521000,00</w:t>
            </w:r>
          </w:p>
        </w:tc>
      </w:tr>
      <w:tr>
        <w:trPr>
          <w:cantSplit w:val="0"/>
          <w:tblHeader w:val="0"/>
        </w:trPr>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КП «Сквирське комунальне господарство» відшкодовано витрати за надані ритуальні послуги під час поховання військовослужбовців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чол.</w:t>
            </w:r>
          </w:p>
        </w:tc>
        <w:tc>
          <w:tcPr>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67502,00</w:t>
            </w:r>
          </w:p>
        </w:tc>
      </w:tr>
      <w:tr>
        <w:trPr>
          <w:cantSplit w:val="0"/>
          <w:tblHeader w:val="0"/>
        </w:trPr>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Надано матеріальну допомогу на лікування військовослужбовцям, які отримали поранення в зоні ведення бойових дій </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Матеріальна допомога на поховання військовослужбовців, які загинули під час захисту Батьківщини </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Допомога матері загинувшого, для придбання дрів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відповідно до комплексної програми соціальної підтримки учасників антитерористичної операції та операції об’єднаних сил, членів їх сімей</w:t>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 чол.</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чол.</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чол.</w:t>
            </w:r>
          </w:p>
        </w:tc>
        <w:tc>
          <w:tcPr>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143500,00</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144400,00</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3500,00</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Відшкодування вартості пільгових ліків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271 чол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433 рецепти</w:t>
            </w:r>
          </w:p>
        </w:tc>
        <w:tc>
          <w:tcP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683992,42</w:t>
            </w:r>
          </w:p>
        </w:tc>
      </w:tr>
      <w:tr>
        <w:trPr>
          <w:cantSplit w:val="0"/>
          <w:tblHeader w:val="0"/>
        </w:trPr>
        <w:tc>
          <w:tcPr>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Компенсація фізичним особам, які надають соціальні послуги з догляду на непрофесійній основі”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(КСП)</w:t>
            </w:r>
          </w:p>
        </w:tc>
        <w:tc>
          <w:tcP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128 чол.</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(середній показник)</w:t>
            </w:r>
          </w:p>
        </w:tc>
        <w:tc>
          <w:tcPr>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1092270,65</w:t>
            </w:r>
          </w:p>
        </w:tc>
      </w:tr>
      <w:tr>
        <w:trPr>
          <w:cantSplit w:val="0"/>
          <w:tblHeader w:val="0"/>
        </w:trPr>
        <w:tc>
          <w:tcPr>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Програма підтримки сім’ї та забезпечення прав дітей “Щаслива родина-успішна громада” </w:t>
            </w:r>
            <w:r w:rsidDel="00000000" w:rsidR="00000000" w:rsidRPr="00000000">
              <w:rPr>
                <w:rtl w:val="0"/>
              </w:rPr>
            </w:r>
          </w:p>
        </w:tc>
        <w:tc>
          <w:tcPr>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w:t>
            </w:r>
          </w:p>
        </w:tc>
        <w:tc>
          <w:tcP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49000,00</w:t>
            </w:r>
          </w:p>
        </w:tc>
      </w:tr>
      <w:tr>
        <w:trPr>
          <w:cantSplit w:val="0"/>
          <w:tblHeader w:val="0"/>
        </w:trPr>
        <w:tc>
          <w:tcPr>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Поховання бездомних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відповідно до програми щодо організації 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p>
        </w:tc>
        <w:tc>
          <w:tcPr>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чол.</w:t>
            </w:r>
          </w:p>
        </w:tc>
        <w:tc>
          <w:tcPr>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3877,68</w:t>
            </w:r>
          </w:p>
        </w:tc>
      </w:tr>
      <w:tr>
        <w:trPr>
          <w:cantSplit w:val="0"/>
          <w:tblHeader w:val="0"/>
        </w:trPr>
        <w:tc>
          <w:tcPr>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w:t>
            </w:r>
          </w:p>
        </w:tc>
        <w:tc>
          <w:tcPr>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1752</w:t>
            </w:r>
          </w:p>
        </w:tc>
        <w:tc>
          <w:tcPr>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4310042,75</w:t>
            </w:r>
          </w:p>
        </w:tc>
      </w:tr>
    </w:tb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 надання соціальних послуг в умовах воєнного стану організовувалася оперативно, протягом однієї доби  приймалися рішення про надання соціальних послуг, відповідно було прийнято рішення та надано притулок у стаціонарному відділенні комунальної установи Сквирської міської ради «Центр надання соціальних послуг» для 10 одиноких, не здатних до самообслуговування внутрішньо переміщених осіб.</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стаціонарному відділенні комунальної установи Сквирської міської ради «Центр надання соціальних послуг» с.Горобіївка на сьогоднішній день перебуває 30 осіб.</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26 грудня 2022 року, за підтримки благодійного фонду</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LET&amp;apos; S HELP!», було отримано дизельний генератор 6,5-7,5 кВт та гуманітарну допомогу у вигляді продуктів харчування.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Одиноким непрацездатним громадянам, особам похилого віку, рідні яких виїхали до відносно безпечних територій, надавалася соціальна послуга “догляд вдома”. У 2022 році розглянуто 123 заяви (первинне звернення) про потребу у наданні соціальної послуги «догляд вдома». В цілому така послуга надавалася 478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2022 року соціальними послугами було охоплено 348 сімей, в яких виховується 571 дитина до 18 років та надано 1965 послуг.</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фахівців із соціальної роботи та співпраці із закладами охорони здоров’я, волонтерами, одиноку матір направлено до Іспанії для проходження лікування дитини від онкологічного захворювання.</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Напередодні новорічно-різдвяних свят дітки з числа внутрішньо переміщених, які зверталися разом з батьками до Відділу соціального захисту мали змогу самостійно обрати іграшку до вподоби, одяг та взуття, які їм передали небайдужі жителі громади.</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tyjcwt" w:id="9"/>
      <w:bookmarkEnd w: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програмному комплексі «Інтегрована інформаційна система» Соціальна громада» перевірено 5202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172 жителів Сквирської територіальної громади прийнято заяви на забезпечення технічними засобами реабілітації (ортопедичне взуття, ортези, палиці, милиці, ходунки та ін.), 7 звернень на ремонт електроскутерів та крісел колісних.</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квітня-грудня 2022 року розміщено 633 внутрішньо переміщені особи, компенсацію за тимчасове розміщення внутрішньо переміщених осіб нараховано в сумі 1338828 грн, через місцевий бюджет виплачено – 283569 гривень.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функціонують: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дитячий будинок сімейного типу Бондар с. Тарасівка – (9 вихованців у ДБСТ, 3 дітей - під опікою);</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прийомні сім'ї: в м. Сквира ПС Найди, с. Шамраївка ПС Бабенко (в ПС виховується  1 дитина) та в с. Кривошиїнці ПС Савченко (в ПС виховується 4 дітей, позбавлених батьківського піклування) – тимчасово евакуйовано до США.</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патронатна сім’я в м. Сквира (на вихованні протягом 2022 року перебувало 5 дітей).</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Сквирський дитячий будинок "Надія" Сквирської міської ради Київської області реорганізовано шляхом перетворення його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встановлено статус 12 дітям. Також здійснено заходи щодо усиновлення 2 малолітніх, повернення на виховання батькам (поновлення батьківських прав) – 2 дітей, встановлення батьківства – 1 дитина, встановлення опіки/піклування стосовно 7 дітей.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 </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реєстр багатодітних сімей Сквирської міської ради. В реєстрі перебувають 290 сімей, в них виховуються 959 дітей</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Щомісяця відбуваються засідання комісії з питань захисту прав дитини виконавчого комітету Сквирської міської ради.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підтримки національних сімейних традицій на території громади було проведено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щорічну благодійну акцію до Дня Святого Миколая «Подаруй дитині свято».</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Завдяки підтримці небайдужих громадян подарунки отримали 140 дітей, які потребують особливої соціальної уваги та підтримки. За кошти комплексної програми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підтримки сім’ї та забезпечення прав дітей „Щаслива родина – успішна громада“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закуплено 500 солодких подарунків для дітей з соціально незахищених категорій.</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просвітницька та роз’яснювальна робота,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спрямована на запобігання насильству в сім’ї, а також по залученню учнів навчальних закладів до освітнього процесу.</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50505"/>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Працівниками Служби спільно з працівниками ювенальної превенції у справах дітей проводяться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проведено оздоровлення 18 дітей в ДПУ МДЦ «Артек».</w:t>
      </w:r>
    </w:p>
    <w:p w:rsidR="00000000" w:rsidDel="00000000" w:rsidP="00000000" w:rsidRDefault="00000000" w:rsidRPr="00000000" w14:paraId="000000C5">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із напрямків роботи відділу з питань праці, соціального захисту та соціального забезпечення Сквирської міської ради  є здійснення постійного контролю за станом виплати заробітної плати найманим працівникам на підприємствах територіальної громади.</w:t>
      </w:r>
    </w:p>
    <w:p w:rsidR="00000000" w:rsidDel="00000000" w:rsidP="00000000" w:rsidRDefault="00000000" w:rsidRPr="00000000" w14:paraId="000000C6">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мониторингу на економічно-активних підприємствах громади заборгованість із заробітної плати відсутня.</w:t>
      </w:r>
    </w:p>
    <w:p w:rsidR="00000000" w:rsidDel="00000000" w:rsidP="00000000" w:rsidRDefault="00000000" w:rsidRPr="00000000" w14:paraId="000000C7">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01.01.2023 КП «Сквирське комунальне господарство» має заборгованість із заробітної плати 22 працівникам на суму 182,3 тис. грн (за листопад 2022 року). Також рахується поточна заборгованість (грудень 2022 року) 24 працівникам в сумі 250 тис. гривень.</w:t>
      </w:r>
    </w:p>
    <w:p w:rsidR="00000000" w:rsidDel="00000000" w:rsidP="00000000" w:rsidRDefault="00000000" w:rsidRPr="00000000" w14:paraId="000000C8">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листопаді 2022 року на підприємстві складено графік погашення заборгованості в сумі 576,00 тис. грн з розбивкою на 6 місяців (по 96 тис. грн щомісячно) до червня 2023 року.</w:t>
      </w:r>
    </w:p>
    <w:p w:rsidR="00000000" w:rsidDel="00000000" w:rsidP="00000000" w:rsidRDefault="00000000" w:rsidRPr="00000000" w14:paraId="000000C9">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Проводиться моніторинг стану погашення заборгованості із заробітної плати працівникам КП «Сквирське комунальне господарство». Керівника підприємства заслухано на засіданні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 </w:t>
      </w:r>
    </w:p>
    <w:p w:rsidR="00000000" w:rsidDel="00000000" w:rsidP="00000000" w:rsidRDefault="00000000" w:rsidRPr="00000000" w14:paraId="000000CA">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звітний період організовано проведення:</w:t>
      </w:r>
    </w:p>
    <w:p w:rsidR="00000000" w:rsidDel="00000000" w:rsidP="00000000" w:rsidRDefault="00000000" w:rsidRPr="00000000" w14:paraId="000000CB">
      <w:pPr>
        <w:ind w:firstLine="567"/>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1 засідання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w:t>
      </w:r>
      <w:r w:rsidDel="00000000" w:rsidR="00000000" w:rsidRPr="00000000">
        <w:rPr>
          <w:rtl w:val="0"/>
        </w:rPr>
      </w:r>
    </w:p>
    <w:p w:rsidR="00000000" w:rsidDel="00000000" w:rsidP="00000000" w:rsidRDefault="00000000" w:rsidRPr="00000000" w14:paraId="000000CC">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аналіз виробничого травматизму в громаді. У звітному періоді зареєстровано 1 випадок виробничого травматизму в ТОВ «Сквирський комбінат хлібопродуктів».</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6.3. Транспортне сполучення</w:t>
      </w: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паспорти маршрутів на кожен із маршрутів.</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Сквирською міською радою проведено 6 конкурсів з визначення автомобільних перевізників на автобусних маршрутах загального користування, за результатами проведених конкурсів було визначено переможців по маршрутах: Сквира АС – с. Каленна МПП; Сквира АС – с. Миньківці, ч/з с. Кривошиїнці та Сквира АС – с. Мовчанівка.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01.11.2022 року залишаються не задіяними 7 маршрутів, що сполучають села громади з м. Сквира та 1 кільцевий маршрут по місту.</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dy6vkm" w:id="10"/>
      <w:bookmarkEnd w:id="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Житлово-комунальне господарство.</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незважаючи на введення військового стану, комунальними підприємствами Сквирської міської ради забезпечено стабільну роботу та надання комунальних послуг. Проводилась робота, спрямована на забезпечення потреб населення та господарського комплексу Сквирської міської територіальної громади у наданні житлово-комунальних послуг а також покращення якості житлово-комунальних послуг, що надаються комунальним підприємством «Сквирське комунальне господарство».</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підготовки житлових будинків у м.Сквира до осінньо-зимового періоду спеціалістами КП «Сквирське комунальне господарство» проведено такі роботи:</w:t>
      </w:r>
    </w:p>
    <w:p w:rsidR="00000000" w:rsidDel="00000000" w:rsidP="00000000" w:rsidRDefault="00000000" w:rsidRPr="00000000" w14:paraId="000000D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систем холодного водопостачання за адресами: вул. Незалежності, буд.145, 147, вул. Богачевського, буд.15, 17, 51, 53, 58, 62, 49, пров. Каштановий, буд.6, 15, пров. Горького, буд.3-а, вул. Соборна, буд.8, 11, 19, 29, вул. Київська, буд.5, вул. М.Рильського, буд.52, 34, 48, вул. Фруктових Садів, буд.7;</w:t>
      </w:r>
    </w:p>
    <w:p w:rsidR="00000000" w:rsidDel="00000000" w:rsidP="00000000" w:rsidRDefault="00000000" w:rsidRPr="00000000" w14:paraId="000000D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ремонт внутрішньобудинкових систем електропостачання за адресами: вул .Незалежності, буд.145, 147, вул. Богачевського, буд.15, 17, 48, 51, 53, пров. Каштановий, буд.6, 15, пров. Горького, буд.3а, вул. Соборна, буд.8, 11, 19, 29, вул. Київська, буд.5, вул. М.Рильського, буд.52, 49, 48, вул. Набережна, буд.7, 15, 13;</w:t>
      </w:r>
    </w:p>
    <w:p w:rsidR="00000000" w:rsidDel="00000000" w:rsidP="00000000" w:rsidRDefault="00000000" w:rsidRPr="00000000" w14:paraId="000000D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забивання слухових вікон на горищах за адресами: вул. Набережна, 1, 7, 13, 15, 21, 23;</w:t>
      </w:r>
    </w:p>
    <w:p w:rsidR="00000000" w:rsidDel="00000000" w:rsidP="00000000" w:rsidRDefault="00000000" w:rsidRPr="00000000" w14:paraId="000000D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замуровування слухових вікон за адресами: вул. Богачевського, 51, 53, пров. Каштановий, 6, вул. Незалежності, 145, 147, пров. Горького, 3а;</w:t>
      </w:r>
    </w:p>
    <w:p w:rsidR="00000000" w:rsidDel="00000000" w:rsidP="00000000" w:rsidRDefault="00000000" w:rsidRPr="00000000" w14:paraId="000000D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утеплення трубопроводів у підвальних приміщеннях за адресами: вул. Соборна, 11.</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жовтні 2022 року Сквирською міською радою проведено конкурс на визначення управителя багатоквартирного будинку (групи будинків) у м.Сквира та на визначення виконавця послуги з поводження з твердими побутовими відходами. Підприємство надіслало конкурсні комісії конкурсну пропозицію для участі у конкурсі. За результатами конкурсу КП «Сквирське комунальне господарство» визначено управителем багатоквартирних будинків у м.Сквира, що входили до об’єкта конкурсу та виконавцем послуги з поводження з твердими побутовими відходами. Встановлено новий тариф на послуги зазначений у конкурсній пропозиції, який вступив в силу з 01 листопада 2022 року.</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покращення якості житлово-комунальних послуг, що надаються КП «Сквирське комунальне господарство» проведено такі роботи:</w:t>
      </w:r>
    </w:p>
    <w:p w:rsidR="00000000" w:rsidDel="00000000" w:rsidP="00000000" w:rsidRDefault="00000000" w:rsidRPr="00000000" w14:paraId="000000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внесено зміни у графік вивезення ТПВ від приватних домоволодінь (упорядковано вулиці у графіку, визначено черговість руху спецтранспорту по вулицях, де здійснюється збір ТПВ, а також внесено орієнтовний час прибуття спецтранспорту на кожну із вулиць). Графік коригується на вимогу споживачів виходячи з можливостей підприємства;</w:t>
      </w:r>
    </w:p>
    <w:p w:rsidR="00000000" w:rsidDel="00000000" w:rsidP="00000000" w:rsidRDefault="00000000" w:rsidRPr="00000000" w14:paraId="000000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триває робота з уклада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ння угод на надання комунальної послуги з поводження з твердими побутовими відходами та спілкування із споживачами стосовно правил поводження з ТПВ, умов надання послуги тощо;</w:t>
      </w:r>
    </w:p>
    <w:p w:rsidR="00000000" w:rsidDel="00000000" w:rsidP="00000000" w:rsidRDefault="00000000" w:rsidRPr="00000000" w14:paraId="000000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налагоджено інформування споживачів стосовно графіку вивозу та змін до нього, заборгованості з житлово-комунальні послуги, проведення різних заходів, додаткових послуг тощо за </w:t>
      </w:r>
      <w:r w:rsidDel="00000000" w:rsidR="00000000" w:rsidRPr="00000000">
        <w:rPr>
          <w:rFonts w:ascii="Times New Roman" w:cs="Times New Roman" w:eastAsia="Times New Roman" w:hAnsi="Times New Roman"/>
          <w:sz w:val="28"/>
          <w:szCs w:val="28"/>
          <w:rtl w:val="0"/>
        </w:rPr>
        <w:t xml:space="preserve">допомогою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мережі Facebook та електронних засобів передачі інформації (Viber\Telegram);</w:t>
      </w:r>
    </w:p>
    <w:p w:rsidR="00000000" w:rsidDel="00000000" w:rsidP="00000000" w:rsidRDefault="00000000" w:rsidRPr="00000000" w14:paraId="000000E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триває оновлення даних споживачів. Споживачам повідомляється, що на вимогу договору про надання послуг з поводження з ТПВ споживач зобов’язаний надати довідку про зареєстрованих осіб у приміщенні та оновити свої дані</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робота із споживачами з впровадження контейнерної схеми збору ТПВ: вул. Толстого, частина вул. Кобзаря, пров. Яблуневий,</w:t>
      </w:r>
      <w:r w:rsidDel="00000000" w:rsidR="00000000" w:rsidRPr="00000000">
        <w:rPr>
          <w:rFonts w:ascii="Times New Roman" w:cs="Times New Roman" w:eastAsia="Times New Roman" w:hAnsi="Times New Roman"/>
          <w:sz w:val="28"/>
          <w:szCs w:val="28"/>
          <w:rtl w:val="0"/>
        </w:rPr>
        <w:t xml:space="preserve"> пров.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Річковий, частина вул. Проєктна, вул. Селекційна проведено загальні збори, визначено місце розташування контейнерів, роз’яснено правила поводження з ТПВ</w:t>
      </w:r>
      <w:r w:rsidDel="00000000" w:rsidR="00000000" w:rsidRPr="00000000">
        <w:rPr>
          <w:rFonts w:ascii="Times New Roman" w:cs="Times New Roman" w:eastAsia="Times New Roman" w:hAnsi="Times New Roman"/>
          <w:sz w:val="28"/>
          <w:szCs w:val="28"/>
          <w:rtl w:val="0"/>
        </w:rPr>
        <w:t xml:space="preserve">, оплати послуг;</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проведено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збори співвласників багатоквартирних </w:t>
      </w:r>
      <w:r w:rsidDel="00000000" w:rsidR="00000000" w:rsidRPr="00000000">
        <w:rPr>
          <w:rFonts w:ascii="Times New Roman" w:cs="Times New Roman" w:eastAsia="Times New Roman" w:hAnsi="Times New Roman"/>
          <w:sz w:val="28"/>
          <w:szCs w:val="28"/>
          <w:rtl w:val="0"/>
        </w:rPr>
        <w:t xml:space="preserve">будинків,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яких обговорюються питання щодо оприлюднення угод на надання послуг, переліку складових послуг, що надаються, правил поводження з ТПВ, правил благоустрою міста, обслуговування будинку тощо;</w:t>
      </w:r>
    </w:p>
    <w:p w:rsidR="00000000" w:rsidDel="00000000" w:rsidP="00000000" w:rsidRDefault="00000000" w:rsidRPr="00000000" w14:paraId="000000E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роботу з бюджетними установами, організаціями та підприємствами щодо надання послуг з </w:t>
      </w:r>
      <w:r w:rsidDel="00000000" w:rsidR="00000000" w:rsidRPr="00000000">
        <w:rPr>
          <w:rFonts w:ascii="Times New Roman" w:cs="Times New Roman" w:eastAsia="Times New Roman" w:hAnsi="Times New Roman"/>
          <w:sz w:val="28"/>
          <w:szCs w:val="28"/>
          <w:rtl w:val="0"/>
        </w:rPr>
        <w:t xml:space="preserve">вивез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ення ТПВ. Сторонам надано проєкти договорів про надання послуг, визначено модель збору ТПВ та надано контейнери у безоплатне користування;</w:t>
      </w:r>
    </w:p>
    <w:p w:rsidR="00000000" w:rsidDel="00000000" w:rsidP="00000000" w:rsidRDefault="00000000" w:rsidRPr="00000000" w14:paraId="000000E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проводяться заходи щодо вибору та впровадження моделі поводження з ТПВ з іншими юридичними особами у м.Сквира;</w:t>
      </w:r>
    </w:p>
    <w:p w:rsidR="00000000" w:rsidDel="00000000" w:rsidP="00000000" w:rsidRDefault="00000000" w:rsidRPr="00000000" w14:paraId="000000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опрацьовуються та надаються відповіді на звернення, заяви, інформаційні запити громадян з різних питань, що стосуються надання послуг.</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(11,02 га)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вартість якого склала 233 625 гривень.</w:t>
      </w:r>
    </w:p>
    <w:p w:rsidR="00000000" w:rsidDel="00000000" w:rsidP="00000000" w:rsidRDefault="00000000" w:rsidRPr="00000000" w14:paraId="000000E8">
      <w:pPr>
        <w:spacing w:line="259"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Заборгованість населення перед КП «Сквирське комунальне господарство» станом на</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01.01.2023 року становить 1601617,69 грн, що на 469819,52 грн більше у порівнянні з заборгованістю станом на 01.01.2022 року, в т.ч. по квартплаті: заборгованість становить 718210,44 грн, поводження з ТПВ 883407,25 гривень.</w:t>
      </w:r>
    </w:p>
    <w:p w:rsidR="00000000" w:rsidDel="00000000" w:rsidP="00000000" w:rsidRDefault="00000000" w:rsidRPr="00000000" w14:paraId="000000E9">
      <w:pPr>
        <w:spacing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підвищення прибутку підприємства проведено такі роботи:</w:t>
      </w:r>
    </w:p>
    <w:p w:rsidR="00000000" w:rsidDel="00000000" w:rsidP="00000000" w:rsidRDefault="00000000" w:rsidRPr="00000000" w14:paraId="000000EA">
      <w:pPr>
        <w:numPr>
          <w:ilvl w:val="0"/>
          <w:numId w:val="3"/>
        </w:numPr>
        <w:spacing w:line="240" w:lineRule="auto"/>
        <w:rPr>
          <w:sz w:val="28"/>
          <w:szCs w:val="28"/>
        </w:rPr>
      </w:pPr>
      <w:r w:rsidDel="00000000" w:rsidR="00000000" w:rsidRPr="00000000">
        <w:rPr>
          <w:rFonts w:ascii="Times New Roman" w:cs="Times New Roman" w:eastAsia="Times New Roman" w:hAnsi="Times New Roman"/>
          <w:sz w:val="28"/>
          <w:szCs w:val="28"/>
          <w:rtl w:val="0"/>
        </w:rPr>
        <w:t xml:space="preserve">укладено 194 угоди з фізичними особами та 54 угоди з юридичними особами на надання комунальної послуги поводження з твердими побутовими відходами;</w:t>
      </w:r>
    </w:p>
    <w:p w:rsidR="00000000" w:rsidDel="00000000" w:rsidP="00000000" w:rsidRDefault="00000000" w:rsidRPr="00000000" w14:paraId="000000EB">
      <w:pPr>
        <w:numPr>
          <w:ilvl w:val="0"/>
          <w:numId w:val="3"/>
        </w:numPr>
        <w:spacing w:line="240" w:lineRule="auto"/>
        <w:rPr>
          <w:sz w:val="28"/>
          <w:szCs w:val="28"/>
        </w:rPr>
      </w:pPr>
      <w:r w:rsidDel="00000000" w:rsidR="00000000" w:rsidRPr="00000000">
        <w:rPr>
          <w:rFonts w:ascii="Times New Roman" w:cs="Times New Roman" w:eastAsia="Times New Roman" w:hAnsi="Times New Roman"/>
          <w:sz w:val="28"/>
          <w:szCs w:val="28"/>
          <w:rtl w:val="0"/>
        </w:rPr>
        <w:t xml:space="preserve">з 01 листопада 2022 року, у відповідності до ЗУ «Про житлово-комунальні послуги», проведено публікацію Індивідуального договору на офіційному веб-сайті органу місцевого самоврядування (Сквирська міська рада). Відповідно до Індивідуального договору, всі жителі (фізичні особи) мають договірні відносини з КП «Сквирське комунальне господарство». Про відмову від умов договору протягом набрання чинності договору жоден із жителів у м.Сквира не повідомив. Працівниками проводяться заходи щодо виявлення споживачів та уточнення особистих даних споживачів;</w:t>
      </w:r>
    </w:p>
    <w:p w:rsidR="00000000" w:rsidDel="00000000" w:rsidP="00000000" w:rsidRDefault="00000000" w:rsidRPr="00000000" w14:paraId="000000EC">
      <w:pPr>
        <w:numPr>
          <w:ilvl w:val="0"/>
          <w:numId w:val="3"/>
        </w:numPr>
        <w:spacing w:line="240" w:lineRule="auto"/>
        <w:rPr>
          <w:sz w:val="28"/>
          <w:szCs w:val="28"/>
        </w:rPr>
      </w:pPr>
      <w:r w:rsidDel="00000000" w:rsidR="00000000" w:rsidRPr="00000000">
        <w:rPr>
          <w:rFonts w:ascii="Times New Roman" w:cs="Times New Roman" w:eastAsia="Times New Roman" w:hAnsi="Times New Roman"/>
          <w:sz w:val="28"/>
          <w:szCs w:val="28"/>
          <w:rtl w:val="0"/>
        </w:rPr>
        <w:t xml:space="preserve">опубліковано оголошення про можливість надавати додаткові послуги населенню м.Сквира (послуги електрика, слюсаря-сантехніка, вивіз сміття, що не входить до складу ТПВ), а також про послуги ритуальної служби;</w:t>
      </w:r>
    </w:p>
    <w:p w:rsidR="00000000" w:rsidDel="00000000" w:rsidP="00000000" w:rsidRDefault="00000000" w:rsidRPr="00000000" w14:paraId="000000ED">
      <w:pPr>
        <w:numPr>
          <w:ilvl w:val="0"/>
          <w:numId w:val="3"/>
        </w:numPr>
        <w:rPr>
          <w:sz w:val="28"/>
          <w:szCs w:val="28"/>
        </w:rPr>
      </w:pPr>
      <w:r w:rsidDel="00000000" w:rsidR="00000000" w:rsidRPr="00000000">
        <w:rPr>
          <w:rFonts w:ascii="Times New Roman" w:cs="Times New Roman" w:eastAsia="Times New Roman" w:hAnsi="Times New Roman"/>
          <w:sz w:val="28"/>
          <w:szCs w:val="28"/>
          <w:rtl w:val="0"/>
        </w:rPr>
        <w:t xml:space="preserve">з місцевого бюджету виділено кошти по результатах діяльності підприємства за перше півріччя у сумі 169000 гривень. Підстава виділення коштів - Рішення сесії Сквирської міської ради від 18.05.2022 року №03-22-VIII;</w:t>
      </w:r>
    </w:p>
    <w:p w:rsidR="00000000" w:rsidDel="00000000" w:rsidP="00000000" w:rsidRDefault="00000000" w:rsidRPr="00000000" w14:paraId="000000EE">
      <w:pPr>
        <w:numPr>
          <w:ilvl w:val="0"/>
          <w:numId w:val="3"/>
        </w:numPr>
        <w:rPr>
          <w:sz w:val="28"/>
          <w:szCs w:val="28"/>
        </w:rPr>
      </w:pPr>
      <w:r w:rsidDel="00000000" w:rsidR="00000000" w:rsidRPr="00000000">
        <w:rPr>
          <w:rFonts w:ascii="Times New Roman" w:cs="Times New Roman" w:eastAsia="Times New Roman" w:hAnsi="Times New Roman"/>
          <w:sz w:val="28"/>
          <w:szCs w:val="28"/>
          <w:rtl w:val="0"/>
        </w:rPr>
        <w:t xml:space="preserve">рішенням сесії Сквирської міської ради №09-17-VIII від 23 грудня 2021 року «Про затвердження в новій редакції Програми забезпечення збору, вивезення та захоронення твердих побутових відходів у Сквирській міській територіальній громаді на 2021 – 2025 роки» виділено кошти в сумі 370000 грн, які використано згідно помісячного плану використання бюджетних коштів.</w:t>
      </w:r>
    </w:p>
    <w:p w:rsidR="00000000" w:rsidDel="00000000" w:rsidP="00000000" w:rsidRDefault="00000000" w:rsidRPr="00000000" w14:paraId="000000EF">
      <w:pPr>
        <w:numPr>
          <w:ilvl w:val="0"/>
          <w:numId w:val="3"/>
        </w:numPr>
        <w:spacing w:after="0" w:lineRule="auto"/>
        <w:rPr>
          <w:sz w:val="28"/>
          <w:szCs w:val="28"/>
        </w:rPr>
      </w:pPr>
      <w:r w:rsidDel="00000000" w:rsidR="00000000" w:rsidRPr="00000000">
        <w:rPr>
          <w:rFonts w:ascii="Times New Roman" w:cs="Times New Roman" w:eastAsia="Times New Roman" w:hAnsi="Times New Roman"/>
          <w:sz w:val="28"/>
          <w:szCs w:val="28"/>
          <w:rtl w:val="0"/>
        </w:rPr>
        <w:t xml:space="preserve">рішенням сесії Сквирської міської ради №02-19-VIII від 22 лютого 2022 року «Про внесення змін до рішення міської ради від 23 грудня 2021 року №04-17-VIII «Про бюджет Сквирської міської територіальної громади на 2022 рік» виділено кошти в сумі 3457409,98 грн, які використано на сплату грошових зобов’язань по акту перевірки від 09.11.21 року №18818/10-36-07-15/34921014 в сумі, що підтверджується платіжним дорученням №8 та №9 від 23 лютого 2022 року.</w:t>
      </w:r>
    </w:p>
    <w:p w:rsidR="00000000" w:rsidDel="00000000" w:rsidP="00000000" w:rsidRDefault="00000000" w:rsidRPr="00000000" w14:paraId="000000F0">
      <w:pPr>
        <w:spacing w:after="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Рішенням Сквирської міської ради від 27.01.2022 №20-18-VІІІ затверджена Програма ефективності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2022 рік, на фінансування якої в бюджеті громади на 2022 рік передбачені кошти в сумі 461,5 тис. гривень. Фактично  профінансовано 461,5 тис. грн, з них: 396,5 тис. грн - відшкодування різниці в тарифах (кошти перераховано на виплату заробітної плати); 65,0 тис. грн - придбання обладнання для поточного ремонту. </w:t>
      </w:r>
    </w:p>
    <w:p w:rsidR="00000000" w:rsidDel="00000000" w:rsidP="00000000" w:rsidRDefault="00000000" w:rsidRPr="00000000" w14:paraId="000000F1">
      <w:pPr>
        <w:ind w:firstLine="567"/>
        <w:rPr>
          <w:rFonts w:ascii="Times New Roman" w:cs="Times New Roman" w:eastAsia="Times New Roman" w:hAnsi="Times New Roman"/>
          <w:sz w:val="28"/>
          <w:szCs w:val="28"/>
        </w:rPr>
      </w:pPr>
      <w:bookmarkStart w:colFirst="0" w:colLast="0" w:name="_heading=h.1t3h5sf" w:id="11"/>
      <w:bookmarkEnd w:id="11"/>
      <w:r w:rsidDel="00000000" w:rsidR="00000000" w:rsidRPr="00000000">
        <w:rPr>
          <w:rFonts w:ascii="Times New Roman" w:cs="Times New Roman" w:eastAsia="Times New Roman" w:hAnsi="Times New Roman"/>
          <w:sz w:val="28"/>
          <w:szCs w:val="28"/>
          <w:rtl w:val="0"/>
        </w:rPr>
        <w:t xml:space="preserve">Для безперебійної роботи централізованого водопостачання та водовідведення, в періоди відключень електроенергії, міською радою забезпечено КП «Сквир-водоканал» генераторами потужністю 35 та 55 кВТ. Всього безперебійну  роботу КП «Сквир-водоканал» в умовах воєнного стану  забезпечують три генератори: два  встановлені на КНС-2, КНС-очисні, третій - встановлюється на ВНС-2.  </w:t>
      </w:r>
    </w:p>
    <w:p w:rsidR="00000000" w:rsidDel="00000000" w:rsidP="00000000" w:rsidRDefault="00000000" w:rsidRPr="00000000" w14:paraId="000000F2">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 «Сквир-водоканал» протягом  2022  року подало в мережу 388,5 тис. куб. м питної води, що на 5,1 тис. куб. більше, ніж за 2021 рік, пропустило 136,2 тис. куб. м стічних вод, що на 13,5 тис. куб. менше, ніж за 2021 рік.</w:t>
      </w:r>
    </w:p>
    <w:p w:rsidR="00000000" w:rsidDel="00000000" w:rsidP="00000000" w:rsidRDefault="00000000" w:rsidRPr="00000000" w14:paraId="000000F3">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міського бюджету в 2022 році виготовлено проєктно-кошторисну документацію на проведення реконструкції систем водопостачання по вулицях Новоселецька та Кібенка, провулках Новоселецький та Кільцевий в м.Сквира (180,3 тис. гривень). Проведено реконструкцію систем водопостачання по вулиці Новоселецька, провулках Новоселецький та Кільцевий в м.Сквира (984,5 тис. гривень).</w:t>
      </w:r>
    </w:p>
    <w:p w:rsidR="00000000" w:rsidDel="00000000" w:rsidP="00000000" w:rsidRDefault="00000000" w:rsidRPr="00000000" w14:paraId="000000F4">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2022 році продовжувалися роботи з технічного переоснащення ВНС КП «Сквир-водоканал» (кошти державного та міського бюджетів – 1046,2 тис. гривень). Роботи будуть завершені в 2023 році.</w:t>
      </w:r>
    </w:p>
    <w:p w:rsidR="00000000" w:rsidDel="00000000" w:rsidP="00000000" w:rsidRDefault="00000000" w:rsidRPr="00000000" w14:paraId="000000F5">
      <w:pPr>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Комунальне підприємство «Сквир-водоканал» в 2022 році визначено переможцем в конкурсі з визначення виконавця послуг з вивезення рідких побутових відходів в межах Сквирської міської територіальної громади.</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01.01.2023 року заборгованість за надані послуги з водопостачання та водовідведення перед КП «Сквир-водоканал» міського бюджету становить 69,9 тис. грн, що на 116,5 тис. грн менше порівняно з заборгованістю на 01.01.2022 року, переплата обласного бюджету та  державного  бюджету 146,5 тис. гривень.  Станом на 01.01.2023 року заборгованість  населення становить  992,5 тис. грн, що на 301,6 тис. грн більше порівняно з заборгованістю станом на 01.01.2022 року.</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КП «Сквир-водоканал» проводиться робота, спрямована на зменшення заборгованості за надані послуги водопостачання та водовідведення, зокрема: щомісяця надсилаються письмові повідомлення боржникам, борг яких становить понад 300 грн, в телефонному режимі повідомляється боржникам про необхідність погашення боргу, при необхідності направляються заяви до Сквирського районного суду на видачу судових наказів.</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Будівельна діяльність.</w:t>
      </w: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23.12.2021 № 23-17-VІІІ затверджена Програма будівництва, реконструкції та ремонту об’єктів інфраструктури Сквирської міської територіальної громади на 2022-2027 роки, на  фінансування якої в бюджеті Сквирської міської територіальної громади на 2022 рік були передбачені кошти в сумі 11538728,30 грн, з них фактично профінансовано (виконано робіт) 8953487,58 тис. гривень.</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Ці видатки були заплановані на капітальні ремонти закладів освіти, культури, медицини та ремонт доріг, реконструкцію водопровідних мереж з виготовленням проєктно-кошторисної документації.</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було виготовлено проєктно-кошторисну документацію на капітальний ремонт (система пожежної сигналізації, система керування евакуюванням) приміщень закладів освіти  - Сквирського навчально-виховного комплексу «Заклад загальної середньої освіти І-ІІІ ст. №5 – заклад дошкільної освіти», Самгородоцького навчально-виховного комплексу «Заклад загальної середньої освіти І-ІІІ ступенів – заклад дошкільної освіти», Кривошиїнського навчально-виховного комплексу  «Заклад загальної середньої освіти І-ІІІ ступенів – заклад дошкільної освіти» та на капітальний ремонт (систем пожежної сигналізації та керування евакуюванням,  блискавкозахисту та евакуаційного виходу) будівлі Сквирської дитячо-юнацької спортивної школи імені Воропая П.М. та закладу культури - будинку культури с.Кривошиїнці (монтаж системи  протипожежної сигналізації, системи передавання тривожних сповіщень, системи керування евакуюванням).</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всіх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зазначених закладах роботи з капітального ремонту пожежної сигналізації вже виконані,  загальна сума коштів, виділених з міського бюджету, становить 1526,872 тис. гривень.</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за кошти міського бюджету в сумі 1508,549 тис. грн, проведено капітальний ремонт харчоблоку Сквирського академічного ліцею.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продовжувалась робота з будівництва підвідного газопроводу до сіл Рогізна, Краснянка та Дунайка. Було профінансовано 1046,2 тис. гривень. В 2023 році плану</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заверш</w:t>
      </w:r>
      <w:r w:rsidDel="00000000" w:rsidR="00000000" w:rsidRPr="00000000">
        <w:rPr>
          <w:rFonts w:ascii="Times New Roman" w:cs="Times New Roman" w:eastAsia="Times New Roman" w:hAnsi="Times New Roman"/>
          <w:sz w:val="28"/>
          <w:szCs w:val="28"/>
          <w:rtl w:val="0"/>
        </w:rPr>
        <w:t xml:space="preserve">ити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роботи щодо об’єкту будівництва.</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в 2022 році виготовлено проєктно-кошторисну документацію на капітальний ремонт будівлі дитячого відділення КНП СМР «СКВИРСЬКА ЦМЛ» (система пожежної сигналізації та система керування евакуюванням, вогнезахист дерев’яних конструкцій покрівлі) та на капітальний ремонт будівлі пологового відділення КНП СМР «Сквирський МЦПМСД» (система пожежної сигналізації та система керування евакуюванням, вогнезахист дерев’яних конструкцій покрівлі)» та на капітальний ремонт харчоблоку Шамраївського НВК.</w:t>
      </w: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sz w:val="28"/>
          <w:szCs w:val="28"/>
          <w:rtl w:val="0"/>
        </w:rPr>
        <w:t xml:space="preserve">6</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Містобудівна діяльність.</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містобудівної документації є одним з головних напрямів діяльності для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Протягом 2022 року відділом архітектури, містобудування та інфраструктури підготовлено та видано 8 містобудівних умов та обмежень для проектування об’єктів будівництва:</w:t>
      </w:r>
    </w:p>
    <w:p w:rsidR="00000000" w:rsidDel="00000000" w:rsidP="00000000" w:rsidRDefault="00000000" w:rsidRPr="00000000" w14:paraId="0000010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будівництво центру надання адміністративних послуг Сквирської міської територіальної громади Білоцерківського району Київської області на земельній ділянці комунальної власності по вул. Соборній, 16 в м. Сквира Білоцерківського району Київської області.</w:t>
      </w:r>
      <w:bookmarkStart w:colFirst="0" w:colLast="0" w:name="bookmark=id.17dp8vu" w:id="12"/>
      <w:bookmarkEnd w:id="12"/>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(Замовник: Відділ капітального будівництва Сквирської міської ради);</w:t>
      </w:r>
    </w:p>
    <w:p w:rsidR="00000000" w:rsidDel="00000000" w:rsidP="00000000" w:rsidRDefault="00000000" w:rsidRPr="00000000" w14:paraId="0000010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власної частини житлового будинку (11/20 частка)  під нежитлове приміщення (офіс) по вул. Київська, 5-А в м. Сквира Білоцерківського району Київської області.</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(Замовник: Максимчук Олександр Володимирович);</w:t>
      </w:r>
    </w:p>
    <w:p w:rsidR="00000000" w:rsidDel="00000000" w:rsidP="00000000" w:rsidRDefault="00000000" w:rsidRPr="00000000" w14:paraId="0000010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 Кібенка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 Новоселецька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провулку Кільцевому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технічне переоснащення існуючої </w:t>
      </w:r>
      <w:r w:rsidDel="00000000" w:rsidR="00000000" w:rsidRPr="00000000">
        <w:rPr>
          <w:rFonts w:ascii="Times New Roman" w:cs="Times New Roman" w:eastAsia="Times New Roman" w:hAnsi="Times New Roman"/>
          <w:sz w:val="28"/>
          <w:szCs w:val="28"/>
          <w:rtl w:val="0"/>
        </w:rPr>
        <w:t xml:space="preserve">зерносушилки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А1-ДСП-50, будівництво теплового пункту на земельній ділянці ТОВ «Сквирський комбінат хлібопродуктів» по вул. Київська, 25 в м. Сквира Білоцерківського району Київської області. (Замовник: ТОВ «Сквирський комбінат хлібопродуктів»);</w:t>
      </w:r>
    </w:p>
    <w:p w:rsidR="00000000" w:rsidDel="00000000" w:rsidP="00000000" w:rsidRDefault="00000000" w:rsidRPr="00000000" w14:paraId="0000010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реконструкцію системи водопостачання на земельній ділянці комунальної власності по вулиці Новоселецькій (від жит. будинку №30 до жит. будинку №34) в м. Сквира Білоцерківського району Київської області. (Замовник: Відділ капітального будівництва Сквирської міської ради);</w:t>
      </w:r>
    </w:p>
    <w:p w:rsidR="00000000" w:rsidDel="00000000" w:rsidP="00000000" w:rsidRDefault="00000000" w:rsidRPr="00000000" w14:paraId="0000010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851"/>
          <w:tab w:val="left" w:leader="none" w:pos="993"/>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будівництво багатофункціонального комплексу  комерційного призначення з громадською вбиральнею, площею відпочинку громадян та зупинкою громадського транспорту по вул. Соборній, 21 в м. Сквира Білоцерківського</w:t>
      </w: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району Київської області. (Замовник:  Комунальне підприємство «Сквираблагоустрій»).</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1 засідання архітектурно-містобудівної ради, на якому була розглянута  містобудівна документація</w:t>
      </w:r>
      <w:r w:rsidDel="00000000" w:rsidR="00000000" w:rsidRPr="00000000">
        <w:rPr>
          <w:rFonts w:ascii="Times New Roman" w:cs="Times New Roman" w:eastAsia="Times New Roman" w:hAnsi="Times New Roman"/>
          <w:sz w:val="28"/>
          <w:szCs w:val="28"/>
          <w:rtl w:val="0"/>
        </w:rPr>
        <w:t xml:space="preserve">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«Детальний план території земельних ділянок площею 8,0862 га,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площею</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17,3351 га та   площею 30,5535 га, з метою розширення Шамраївського родовища гранітів та організації виробництва щебеневої продукції в с. Шамраївка  Сквирської міської територіальної громади Білоцерківського району Київської області»    (Замовник: Сквирська міська рада, Інвестор: ТОВ «Шамраївське»).</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Сквирською міською радою прийняті рішення про надання дозволу на розробку містобудівної документації:</w:t>
      </w:r>
    </w:p>
    <w:p w:rsidR="00000000" w:rsidDel="00000000" w:rsidP="00000000" w:rsidRDefault="00000000" w:rsidRPr="00000000" w14:paraId="000001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розробку детального плану території для будівництва садибного (індивідуального) житлового будинку на земельній ділянці з кадастр. номером: 224087202:01:020:0019, площею 0,2448</w:t>
      </w: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 га по вул. Набережна, 4 (колишня вул. Дехтяренка) в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Чубинці Білоцерківського району Київської області, з метою зміни цільового призначення земельної ділянки. (Замовник: Сквирська міська рада, Інвестор: Суслов Іван Миколайович);</w:t>
      </w:r>
    </w:p>
    <w:p w:rsidR="00000000" w:rsidDel="00000000" w:rsidP="00000000" w:rsidRDefault="00000000" w:rsidRPr="00000000" w14:paraId="000001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розробку «Детального плану території для будівництва відстійника-гноєнакопи-чувача (лагуни) місткістю 1000,0 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рахунок частини власної земельної ділянки ТОВ "Агрофірми «Колос»", кадастровий номер: 3224085900:04:014:0002, площею 46,3178 га в с. Пустоварівка Білоцерківського району Київської області (Замовник: Сквирська міська рада, Інвестор: ТОВ "Агрофірма «Колос»").</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Підготовлено 52 висновка</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про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погодження технічної документації з землеустрою щодо встановлення (відновлення) меж земельних ділянок в натурі на місцевості, з яких 23</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висновка видано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м. Сквира та 29 висновків видано по сільським населеним пунктам Сквирської міської територіальної громади.</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ідготовлено та видано через</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ортал Єдиної державної електронної системи у сфері будівництва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будівельні паспорти за заявами індивідуальних забудовників на будівництво та реконструкцію індивідуальних житлових будинків – по 5 об’єктам.</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ідтверджено чинність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раніше виданих будівельних паспортів для індивідуальних забудовників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через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ортал Єдиної державної електронної системи у сфері будівництва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по 3-х об’єктах.</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Демонтовано та здійснено перенос тимчасових споруд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провадження підприємницької діяльності, які розміщувались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площі громадських зібрань по вул. Соборній, 21 в м. Сквира – всього було демонтовано – 42 тимчасові споруди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провадження підприємницької діяльності.</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ідготовлено та видано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паспорти прив’язки на розміщення (встановлення) тимчасових споруд для здійснення підприємницької діяльності – 27 паспортів ТС з послідуючим оформлення договорів сервітутів тимчасового платного використання земельних ділянок під тимчасовими спорудами для здійснення підприємницької діяльності.</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метою </w:t>
      </w:r>
      <w:r w:rsidDel="00000000" w:rsidR="00000000" w:rsidRPr="00000000">
        <w:rPr>
          <w:rFonts w:ascii="Times New Roman" w:cs="Times New Roman" w:eastAsia="Times New Roman" w:hAnsi="Times New Roman"/>
          <w:sz w:val="28"/>
          <w:szCs w:val="28"/>
          <w:rtl w:val="0"/>
        </w:rPr>
        <w:t xml:space="preserve">впорядкування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вуличної торгівлі в м. Сквира було підготовлено та прийнято два рішення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виконкому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одне з них «Про обмеження дорожнього руху в межах центральної частини міста Сквира, на відрізку дороги по вул. Червона (між вулицею Соборною та площею Героїв Небесної Сотні)», та «Про визначення місця для розміщення групи тимчасових споруд (скор. ТС) для здійснення підприємницької діяльності та торгових лотків для продажу продовольчих товарів, які будуть перенесені з площі громадських зібрань по вул. Соборна, 21 в м. Сквира на земельну ділянку орієнтовною площею 0,0750 га (за рахунок земель комунальної власності) по вул. Шолом-Алейхема (в р-ні Православної церкви)».</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7. Надання адміністративних послуг.</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робота Центру надання адміністративних послуг Сквирської міської ради (далі - ЦНАП) була спрямована на забезпечення надання швидких і якісних послуг по найбільш затребуваним напрямкам.</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Через повномасштабне вторгнення російської федерації на територію України Сквирська міська територіальна громада стала місцем прихистку для великої кількості внутрішньо переміщених осіб - за 2022 рік посадовими особами міської ради було прийнято 8884 заяви про надання статусу внутрішньо переміщеної особи та 7102 заяв на виплату допомоги на проживання внутрішньо переміщеним особам.</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2022 року працівниками ЦНАП надано 29854 адміністративних послуг, з яких 13787 адміністративних послуг соціального характеру, 10706 послуг, пов'язаних з державною реєстрацією нерухомого майна, 1593 послуг, пов'язаних з державною реєстрацією бізнесу та громадських формувань, 1366 у сфері державної реєстрації місця проживання, 792 послуги Державного земельного кадастру та 1610 послуг з питань будівництва, архітектури, земельних ресурсів та видачі документів дозвільного характеру.</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забезпечена можливість використовувати електронні копії паспортних документів, відображених у мобільному «Дія» за допомогою засобів інформаційної системи «Вулик» та QR-шерингу. Крім цього Сквирською міською радою придбані ноутбук Acer та два багатофункціональних пристрої Canon.</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виконкому Сквирської міської ради від 06 вересня 2022 року №4/21 затверджений перелік адміністративних послуг, які надаються через ЦНАП, в кількості 272 послуги, серед яких послуги Сквирської міської ради, відділу державного архітектурно-будівельного контролю, відділу містобудування та архітектури, служби  у справах дітей, відділу з питань земельних ресурсів та кадастру, державних реєстраторів та сектору ведення Реєстру територіальної громади, послуги Центрального міжрегіонального управління Міністерства юстиції (м. Київ), Головного управління Держгеокадастру у Київській області, Головного управління Державної служби надзвичайних ситуацій України у Київській області, Головного управління Держпродспоживслужби в Київській області, Київської обласної військової адміністрації тощо.</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надання максимальної кількості послуг у ЦНАП протягом 2022 року забезпечено підключення працівників ЦНАП до Державного земельного кадастру та інформаційної системи «Прихисток». Крім цього працівники ЦНАП підключені до інформаційної системи «Вулик», програмного комплексу «Соціальна громада»,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Реєстру територіальної громади,  Єдиної державної електронної системи у сфері будівництва та здійснюють надання адміністративних послуг за їх допомогою.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567"/>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 Гуманітарна сфера.</w:t>
      </w: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8.1.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Освіта. </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22"/>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надання якісних послуг у галузі освіти та заохочення до навчання </w:t>
      </w:r>
      <w:r w:rsidDel="00000000" w:rsidR="00000000" w:rsidRPr="00000000">
        <w:rPr>
          <w:rFonts w:ascii="Times New Roman" w:cs="Times New Roman" w:eastAsia="Times New Roman" w:hAnsi="Times New Roman"/>
          <w:sz w:val="28"/>
          <w:szCs w:val="28"/>
          <w:rtl w:val="0"/>
        </w:rPr>
        <w:t xml:space="preserve">впродовж</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життя знаходиться серед пріоритетних напрямів роботи освітньої системи  Сквирської територіальної громади. Протягом 2022 року   основна увага була зосереджена  на підвищенні якості освіти, створенні безпечного освітнього середовища, формуванні спроможної та ефективної мережі закладів освіти з урахуванням процесу децентралізації, виконанні заходів з протипожежної безпеки, оновленні комп’ютерного обладнання у закладах освіти.</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У двох закладах (Кам’яногребельська початкова школа та Шапіївська початкова школа) немає набору дітей до 1-4 класів. Загальна кількість учнів 1-11 класів –  3302. До першого класу пішло 279 учнів. Дошкільною освітою  охоплено 796 дітей (у 6 закладах дошкільної освіти - 500 дітей, у 21 дошкільній групі на базі 17 навчально-виховних комплексів – 296 дітей). Відповідно до рішення сесії Сквирської міської ради з 01.09.2022 проведено реорганізацію Чубинецького навчально-виховного комплексу «заклад загальної середньої освіти І-ІІ ступенів – заклад дошкільної освіти» у Чубинецьку початкову школу. З 1 вересня 2022 року призупинено набір учнів до 10 класів у Сквирському закладі ЗЗСО №1, Оріховецькому НВК, Дулицькому НВК.</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бюджетних коштів проведено ремонт найпростіших укриттів  Сквирського ЗДО №6 «Ромашка» (229988,00 грн з міського бюджету), Сквирського академічного ліцею «Перспектива» (189977,00 грн за рахунок залишку коштів освітньої субвенції),  Сквирського академічного ліцею №2 (155 000,00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(70000 грн), спонсорські кошти та силами працівників закладів освіти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Сквирському академічному ліцеї, Шапіївській початковій школі, Сквирському ЗДО №2,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сесії міської ради виділено додатково кошти (200000 грн) на продовження облаштування укриттів у Сквирському академічному ліцеї «Перспектива» та Сквирському ЗДО №6 «Ромашка».</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рішень педагогічних рад та за результатами моніторингу батьків за змішаною формою навчання працюють 16 закладів загальної середньої освіти, решта (4)– за дистанційною.</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а також на базі Сквирського інклюзивно-ресурсного центру. Інклюзивних класів – 32 (42 учні), інклюзивних груп – 3 (5 дітей).</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Індивідуальним навчанням (педагогічним </w:t>
      </w:r>
      <w:r w:rsidDel="00000000" w:rsidR="00000000" w:rsidRPr="00000000">
        <w:rPr>
          <w:rFonts w:ascii="Times New Roman" w:cs="Times New Roman" w:eastAsia="Times New Roman" w:hAnsi="Times New Roman"/>
          <w:sz w:val="28"/>
          <w:szCs w:val="28"/>
          <w:rtl w:val="0"/>
        </w:rPr>
        <w:t xml:space="preserve">патронатом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охоплено 33 учнів.</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дошкільних закладів освіти працює Сквирський заклад дошкільної освіти №6 «Ромашка», Сквирський заклад дошкільної освіти №2 «Малятко», Сквирський заклад дошкільної освіти №1 «Світанок»,  працюють дошкільні групи Оріховецького НВК, Антонівського НВК, Буківського НВК, Шамраївського  НВК, Шапіївської початкової школи.</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підвезення учнів і педагогічних працівників до закладів освіти використано 12 шкільних автобусів. Усього підвезення потребує 373 учні.</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Графіки та маршрути руху змінено відповідно до форми навчання учнів, кількості змін та днів навчання. Відділом освіти розроблено 9 маршрутів шкільних автобусів.</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кошти місцевого бюджету, спонсорів, батьків організовано гаряче харчування для учнів пільгових категорій у Сквирському НВК №5, Антонівському НВК, Буківському НВК, Горобіївському НВК, Дулицькому НВК, Оріховецькому НВК, Рогізнянській початковій школі, Рудянській філії Шамраївського НВК, Самгородоцькому НВК, Чубинецькому НВК.</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грудня 2020 року у Сквирській громаді працює  Центр професійного розвитку педагогічних працівників. Консультанти Центру здійснюють організаційний та координаційний супровід проведення Олімпіад та Конкурсів. На базі Центру в онлайн форматі проводяться регіональні та обласні етапи Всеукраїнських учнівських олімпіад з навчальних предметів, Міжнародного мовно-літературного конкурсу учнівської та студентської молоді імені Тараса Шевченка, Міжнародного конкурсу знавців української мови імені Петра Яцика, Всеукраїнського конкурсу учнівської творчості «Об'єднаймося ж, брати мої!».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позашкільної освіти громади це освітня підсистема, що включає заклади позашкільної освіти, а саме Сквирський центр дитячої та юнацької творчості та Сквирську дитячо-юнацьку спортивну школу. Заклади позашкільної освіти працюють за змішаною формою навчання.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у Сквирському ЦДЮТ у 2022/2023 н.р. працюють 23 педагоги у 20 гуртках різних напрямів (82 групи).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2022/2023 навчальному році у закладі навчається 1231 вихованців за напрямами відповідно:</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художньо-естетичний – 43 групи, 555 учнів;</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гуманітарний – 1 група, 15 учнів;</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дослідницько-експериментальний – 9 груп, 52 учнів;</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науково-технічний – 23 групи, 294 учнів;</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туристсько-краєзнавчий – 10 груп, 150 учнів;</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еколого-натуралістичний – 3 групи, 45 учнів;</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фізкультурно-спортивний – 7 груп, 105 учнів;</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соціально-реабілітаційний – 1 група, 15 учнів.</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Всього – 38 гуртків, 97 груп, 1231 дітей, що становило 33 % від загальної кількості дітей в громаді. З них 134 дитини із сільської місцевості.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Гуртки, студії, творчі об’єднання працювали на базі 6 закладів загальної середньої освіти, у них 15 гуртків, 339 дітей. Також позашкільний заклад співпрацює з закладами вищої освіти, а саме: Білоцерківський національний аграрний університет, Білоцерківський інститут економіки та управління ВНЗ ВМУРоЛ «Україна», ДНЗ «Сквирське ВПУ», Сквирська дитячо-юнацька спортивна школа імені Воропая П.М.; Київський національний торговельно-економічний університет.</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із введенням 24 лютого 2022 року воєнного стану протягом навчального року керівники гуртків широко застосовують технології дистанційного навчання, використовуючи платформи ZOOM, Google meet.</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Члени учнівського самоврядування та вихованці Сквирської ради дітей «Лідер» працюють за такими проєктами:</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«Правильний вибір професії - успішне майбутнє»;</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«Лідери з дитинства»;</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«Здорові люди люблять життя»:</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«Зробимо місто чистим»:</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tab/>
        <w:t xml:space="preserve">«Ми патріоти твої, Україно».</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Вихованці виконували науково-дослідницькі роботи у 7 наукових відділеннях, 16 секціях. Найбільше робіт були написані у відділенні літературознавства, фольклористики та мистецтвознавства, відділенні хімії та біології.</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Систематична та цілеспрямована робота у науково-дослідницькому напрямі має високу результативність участі учнів-членів МАН у всіх трьох етапах Всеукраїнського конкурсу-захисту науково-дослідницьких робіт учнів-членів МАН України у 2021/2022 навчальному році.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учнів стали переможця ІІ етапу Всеукраїнського конкурсу-захисту науково-дослідницьких робіт учнів членів МАН України:</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 місце – 3 учні;</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 місце – 5 учнів;</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ІІІ місце – 6 учнів;</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учні стали переможця ІІІ (заключного) етапу конкурсу.</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з них: кількість дітей-сиріт – 3, із малозабезпечених сімей – 15, дітей, позбавлених батьківського піклування – 2, дітей з особливими освітніми потребами – 2, з багатодітних сімей – 35,  внутрішньо переміщених осіб – 20.</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навчального року ведеться  цілеспрямована та систематична робота з обдарованими дітьми. Для забезпечення якісної роботи керівників гуртків з цією категорією дітей у закладі передбачене індивідуальне навчання із здібними та обдарованими дітьми. Вихованці закладу є постійними учасниками регіональних, обласних, </w:t>
      </w:r>
      <w:r w:rsidDel="00000000" w:rsidR="00000000" w:rsidRPr="00000000">
        <w:rPr>
          <w:rFonts w:ascii="Times New Roman" w:cs="Times New Roman" w:eastAsia="Times New Roman" w:hAnsi="Times New Roman"/>
          <w:sz w:val="28"/>
          <w:szCs w:val="28"/>
          <w:rtl w:val="0"/>
        </w:rPr>
        <w:t xml:space="preserve">всеукраїнських</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міжнародних заходів.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вихованці ДЮСШ взяли участь у змаганнях та спортивно-масових заходах, а саме: відкритій першості з боксу серед юнаків та дівчат 2005-2006, 2008-2009, 2010 р.н. у місті Києві, чемпіонаті Київської області з боксу серед юніорів 2006-2007 р.н. у місті Бровари, першості Сквирської ДЮСШ з тенісу настільного серед юнаків та дівчат, чемпіонаті України серед ДЮСШ та СДЮШОР з легкої атлетики у приміщенні серед юнаків та дівчат 2007-2008 р.н. у місті Києві, чемпіонаті міста Києва з гандболу пам'яті С. Перепеляка, Всеукраїнському турнірі з гандболу серед дівчат 2009-2010 р.н. пам'яті Олімпійської чемпіонки Людмили Панчук-Коломієць, навчально-тренувальних зборах з боксу із спеціальної фізичної підготовки до чемпіонату Європи серед юнаків та дівчат, смт. Ворохта (Івано-Франківська обл.), першості Сквирської ДЮСШ з велокросу серед учнів молодшої групи,  першості Сквирської ДЮСШ з гандболу серед вихованців 2011-2012 р.н. ("Літо на площадці"), першості Сквирської ДЮСШ з міні гандболу серед юнаків та дівчат 2011-2012 р.н., першості Сквирської ДЮСШ з легкоатлетичного двоборства до Дня Конституції України ("Разом до перемоги"), першості Сквирської ДЮСШ з легкоатлетичного чотириборства, першості Сквирської ДЮСШ з гандболу серед юнаків та дівчат старшої вікової групи, відкритої першості міста Біла Церква з легкої атлетики серед юнаків та дівчат до Дня фізичної культури та спорту, відкритої першості ДЮСШ Олімп міста Біла Церква з легкоатлетичного кросу, відкритої першості Сквирської ДЮСШ з легкоатлетичного чотириборства.</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всеохоплюючої і справедливої якісної освіти та заохочення до навчання </w:t>
      </w:r>
      <w:r w:rsidDel="00000000" w:rsidR="00000000" w:rsidRPr="00000000">
        <w:rPr>
          <w:rFonts w:ascii="Times New Roman" w:cs="Times New Roman" w:eastAsia="Times New Roman" w:hAnsi="Times New Roman"/>
          <w:sz w:val="28"/>
          <w:szCs w:val="28"/>
          <w:rtl w:val="0"/>
        </w:rPr>
        <w:t xml:space="preserve">впродовж</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життя у 2022 році заплановано виконання таких основних завдань та заходів:</w:t>
      </w:r>
    </w:p>
    <w:p w:rsidR="00000000" w:rsidDel="00000000" w:rsidP="00000000" w:rsidRDefault="00000000" w:rsidRPr="00000000" w14:paraId="000001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дітей дошкільного віку якісною дошкільною освітою відповідно до потреб</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1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впровадження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різноманітних форм дошкільної освіти;</w:t>
      </w:r>
    </w:p>
    <w:p w:rsidR="00000000" w:rsidDel="00000000" w:rsidP="00000000" w:rsidRDefault="00000000" w:rsidRPr="00000000" w14:paraId="000001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подальше формування спроможної та ефективної мережі закладів освіти з урахуванням процесу децентралізації; </w:t>
      </w:r>
    </w:p>
    <w:p w:rsidR="00000000" w:rsidDel="00000000" w:rsidP="00000000" w:rsidRDefault="00000000" w:rsidRPr="00000000" w14:paraId="000001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збереження здоров’я учнів шляхом участі в обласному проєкті «Якісне харчування – здорова дитина»;</w:t>
      </w:r>
    </w:p>
    <w:p w:rsidR="00000000" w:rsidDel="00000000" w:rsidP="00000000" w:rsidRDefault="00000000" w:rsidRPr="00000000" w14:paraId="000001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заходів з протипожежної безпеки;</w:t>
      </w:r>
    </w:p>
    <w:p w:rsidR="00000000" w:rsidDel="00000000" w:rsidP="00000000" w:rsidRDefault="00000000" w:rsidRPr="00000000" w14:paraId="000001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технологічного обладнання на харчоблоках;</w:t>
      </w:r>
    </w:p>
    <w:p w:rsidR="00000000" w:rsidDel="00000000" w:rsidP="00000000" w:rsidRDefault="00000000" w:rsidRPr="00000000" w14:paraId="000001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комп’ютерного обладнання у закладах освіти;</w:t>
      </w:r>
    </w:p>
    <w:p w:rsidR="00000000" w:rsidDel="00000000" w:rsidP="00000000" w:rsidRDefault="00000000" w:rsidRPr="00000000" w14:paraId="000001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дотримання натуральних норм харчування в дошкільних закладах освіти та в дошкільних групах НВК, за рахунок батьківських коштів та коштів місцевого бюджету;</w:t>
      </w:r>
    </w:p>
    <w:p w:rsidR="00000000" w:rsidDel="00000000" w:rsidP="00000000" w:rsidRDefault="00000000" w:rsidRPr="00000000" w14:paraId="000001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кваліфікації керівників і педагогічних працівників закладів дошкільної та загальної середньої освіти, забезпечення їх безперервного професійного розвитку та підготовка до роботи з дітьми з особливими освітніми потребами.</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8.2.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Охорона здоров`я. </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умовах воєнного стану медичні заклади працювали у штатному режимі і надавали цілодобову допомогу жителям Сквирщини.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Виконувались завдання та заходи, передбачені загальнодержавними та обласними програмами з питань охорони здоров’я, зокрема - завдання на період введення воєнного стану з організації надання медичної допомоги населенню. Був виконаний весь перелік завдань, передбачених до виконання на первинному рівні надання медичної допомоги за іншими напрямками діяльності.</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Продовжувалась робота щодо забезпечення якості та доступності первинної медичної допомоги населенню шляхом оновлення та реконструкції амбулаторій. Так АЗПСМ м. Сквира розпочала свою роботу в окремому приміщенні.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період введення воєнного стану підприємство співпрацює з громадськими організаціями та волонтерами, щодо забезпечення населення лікарськими препаратами та засобами особистої гігієни.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та затверджено міські Програми:</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Цільової Програми розвитку та фінансової підтримки Комунального некомерційного підприємства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Програми з інфекційного контролю та дотримання заходів із запобігання інфекціям, пов’язаним з наданням медичної допомоги Комунального некомерційного підприємства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протягом 2022 року на заклади охорони здоров’я витрачено 12 653,8 тис. гривень (енергоносії, заробітна плата з нарахуванням Пункту (відділення) невідкладної допомоги, ФП, ПЗ, ФАП).</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за кошти міського бюджету проведено капітальний ремонт протипожежної сигналізації поліклінічного відділення Сквирської ЦМЛ на суму 350426,66 грн та закуплено матеріали для ремонту укриття на суму 46918,47 гривень.</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поточні ремонти прибудинкової території педіатричного відділення, реанімаційного відділення, 2 поверху поліклінічного відділення, кабінетів спеціалістів поліклінічного відділення (власні кошти підприємства на закупівлю будівельних та господарських товарів). Проведено ІІ етап ремонту системи теплопостачання хірургічного корпусу (власні кошти підприємства - 130295,22 гривень). Також проведено закупівлю основних засобів довготривалого користування (медичне обладнання) на суму 341858 гривень. Проведено торги по закупівлі системи рентгенологічної стаціонарної (кошти НСЗУ). Згідно наказів ДОЗ та МОЗ підприємством отримано 2 рентгенологічні портативні системи.</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c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8.3.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Культура. </w:t>
      </w: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станом на 01.01.2023 року налічується 35 клубних закладів культури, 37 бібліотек,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закладів націлена 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створення умов для творчого розвитку особистості, підвищення культурного рівня, естетичного виховання громадян, доступності освіти у сфері культури для дітей та юнацтва, задоволення культурних потреб,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організації змістовного дозвілля населення громади, максимальн</w:t>
      </w:r>
      <w:r w:rsidDel="00000000" w:rsidR="00000000" w:rsidRPr="00000000">
        <w:rPr>
          <w:rFonts w:ascii="Times New Roman" w:cs="Times New Roman" w:eastAsia="Times New Roman" w:hAnsi="Times New Roman"/>
          <w:sz w:val="28"/>
          <w:szCs w:val="28"/>
          <w:rtl w:val="0"/>
        </w:rPr>
        <w:t xml:space="preserve">е охоплення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мистецькою освітою дітей та юнацтва, доступу до інформації та культурних цінностей. Закладами культури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та патріотичного виховання підростаючого покоління.</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культури діє Програма розвитку культури у Сквирській міській територіальній громаді на 2021-2025 роки, затверджена рішенням </w:t>
      </w:r>
      <w:r w:rsidDel="00000000" w:rsidR="00000000" w:rsidRPr="00000000">
        <w:rPr>
          <w:rFonts w:ascii="Times New Roman" w:cs="Times New Roman" w:eastAsia="Times New Roman" w:hAnsi="Times New Roman"/>
          <w:sz w:val="28"/>
          <w:szCs w:val="28"/>
          <w:rtl w:val="0"/>
        </w:rPr>
        <w:t xml:space="preserve">міської ради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 22.12.2020 №18-3-VІІІ зі змінами, внесеними рішенням сесії від 23.11.2021 №36-15-VІІІ.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централізованій клубній мережі функціонували міський Будинок культури та 34 сільські клубні установи, в яких діяло 93 клубних формувань та клубів за інтересами. Одним із досягнень у галузі культури є те, що у громаді є 9 колективів, яким присвоєно звання «народний», цьогоріч три з них підтвердили звання та трьом присвоєно звання вперше.</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програми розвитку культури протягом звітного періоду працівниками закладів культури проведено традиційні фестивалі та конкурси: ХІ фольклорний фестиваль «Різдвяна зірка», міський фестиваль військово-патріотичної творчості «Пам'ять серця», дитячий фестиваль виконавців естрадної пісні «Перший крок», а також заходи з відзначення державних свят, знаменних та пам’ятних дат з історії України, тощо.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Творчі колективи Сквирщини гідно представляли край на обласному рівні та виборювали призові місця.</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в централізованій бібліотечній системі працювали Сквирська центральна міська бібліотека, центральна дитяча бібліотека та 35 бібліотек-філій. При центральній міській бібліотеці діяло літературне об’єднання «Сузір’я», центральній дитячій – клуб за інтересами «Бісером вишиваю, бісером плету», а також 11 клубів за інтересами різнобічного спрямування при сільських закладах. Відповідно до ініціативи Уповноваженого із захисту державної мови та підтримуючи загальноукраїнську кампанію сприяння опануванню державної мови, протягом поточного року при чотирьох сільських бібліотеках-філіях організовано і функціонують розмовні клуби української мови.</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Книжковий фонд по установах системи складає 191629 примірників видань, у поточному році надійшло і поставлено на сумарний та індивідуальний облік 131 примірників видань. З початку року послугами бібліотек скористалося 14274  мешканці.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поліпшення якості інформаційного обслуговування користувачів бібліотек працівниками міських бібліотечних установ на сторінках  у соціальних мережах ведуться рубрики «Цей день в історії» та «Історії сіл Сквирщини», тощо.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Бібліотечні заклади долучилася до участі в обласних конкурсах та марафонах, де виборювали призові місця, всеукраїнських акціях та проєктах.</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345"/>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програми, організовуючи змістовне дозвілля жителів громади, за 2022 рік бібліотеками реалізовано заходи, які присвячені державним подіям, ювілейним датам знаних людей краю, питанням екології, популяризації книги і читання, звичаїв та традицій українського народу, родинних цінностей, здорового способу життя тощо. Разом з тим проведено щорічну літературну акцію «Читання з воїном» та щорічний літературний конкурс патріотичної поезії «Сильні духом, вільні серцем працюють поруч».</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у Сквирській дитячій школі мистецтв працювали відділи: фортепіанний, народних інструментів, струнний, духових та ударних інструментів, теоретичний, хореографічний, театральний, відділи образотворчого мистецтва та естрадного вокалу. Контингент школи становить 354 учні, охоплення учнів загальноосвітніх шкіл громади навчанням у школі мистецтв становить близько 10,83%. Школа мистецтв має чотири класи в селах: Кривошиїнці, Горобіївка, Пустоварівка, Тарасівка, де навчається 40 сільських учнів, з них 4  вихованці дитячого будинку «Надія» та 15 вихованців дитячого будинку сімейного типу родини Бондарів. </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хореографічний дитячий колектив «Веселий сонях» підтвердив звання «зразковий», а дитячому вокальному ансамблю «Нотка» присвоєно звання «зразковий». В школі працює хор викладачів та тріо викладачів «Елегія».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Вихованці школи стали призерами у  шкільних, місцевих, обласних, Всеукраїнських, Міжнародних фестивалях, конкурсах, приймали активну участь у мистецьких заходах.</w:t>
      </w:r>
    </w:p>
    <w:p w:rsidR="00000000" w:rsidDel="00000000" w:rsidP="00000000" w:rsidRDefault="00000000" w:rsidRPr="00000000" w14:paraId="0000016B">
      <w:pPr>
        <w:widowControl w:val="0"/>
        <w:tabs>
          <w:tab w:val="left" w:leader="none" w:pos="851"/>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Робота Сквирського міського народного краєзнавчого музею орієнтована на відвідувачів різного покоління та спрямована на забезпечення збереження фондів музею та їх збільшення, організацію та проведення культурно-мистецьких заходів, дозвіллєвої діяльності, впровадження і реалізацію просвітницьких проектів та програм в музейній, туристичній галузях. Зокрема, завдяки різним виставкам та тематичним заходам музей формує у підростаючого покоління активну громадську позицію та національно-патріотичну свідомість.  </w:t>
      </w:r>
    </w:p>
    <w:p w:rsidR="00000000" w:rsidDel="00000000" w:rsidP="00000000" w:rsidRDefault="00000000" w:rsidRPr="00000000" w14:paraId="0000016C">
      <w:pPr>
        <w:tabs>
          <w:tab w:val="left" w:leader="none" w:pos="5345"/>
        </w:tabs>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2022 року, незважаючи на воєнний стан, Сквирський міський народний краєзнавчий музей відвідало понад 3700 осіб, кількість предметів основного фонду зросла на 98 одиниць і становить 3833 одиниці обліку, проведено 187 екскурсій, організовано 11 виставок, підготовлено 2 наукових видання. При музеї в літній період для дітей різного віку було організовано табір вихідного дня, під час новорічно-різдвяних свят відкрито резиденцію Святого Миколая. Продовжується розробка туристичних маршрутів по громаді. Одним із проблемних питань є відсутність окремого приміщення для Сквирського міського народного краєзнавчого музею.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8.4.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Фізична культура та спорт. </w:t>
      </w: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2022 році відділом культури, молоді і спорту основна увага приділялася </w:t>
      </w:r>
      <w:r w:rsidDel="00000000" w:rsidR="00000000" w:rsidRPr="00000000">
        <w:rPr>
          <w:rFonts w:ascii="Times New Roman" w:cs="Times New Roman" w:eastAsia="Times New Roman" w:hAnsi="Times New Roman"/>
          <w:sz w:val="28"/>
          <w:szCs w:val="28"/>
          <w:rtl w:val="0"/>
        </w:rPr>
        <w:t xml:space="preserve">вдосконаленню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системи організації і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3f3f3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галузі фізичної культури та спорту сесією Сквирської міської ради діє «Програма розвитку фізичної культури і спорту на 2021-2025 роки у Сквирській міській територіальній громаді», затверджена рішенням сесії від 22.12.2020 № 19-3-VІІІ, зі змінами, внесеними рішенням від 23.11.2021 № 37-15-VIII. </w:t>
      </w: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01.01.2023 року у громаді нараховується така матеріально-технічна база: 1 стадіон, 23 спортивних залів (17 в сільській місцевості), 41 спортивних майданчиків (26 в сільській місцевості), 13 футбольних полів (12 в сільській місцевості), 17 гімнастичних містечок (11 в сільській місцевості), 11 приміщень для фізкультурних занять (4 в сільській місцевості), 2 з них – з тренажерним обладнанням та 4 спортивних майданчики зі штучним покриттям.</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воєнний стан, з початку року відділом організовано та проведено спортивні заходи різного рівня:</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нагоди Дня Конституції України:</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Першість Сквирської міської територіальної громади з велосипедного спорту на шосе серед чоловіків, жінок, юнаків та дівчат;</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Легкоатлетичний крос серед учнівської молоді;</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Турнір з гандболу серед молоді.</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Щорічний патріотичний забіг легкої атлетики в пам’ять про загиблих воїнів.</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Турнір з футболу на Кубок Сквирської міської голови.</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Урочистості з нагоди Дня фізичної культури і спорту.</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Турнір з футболу присвячений пам’яті Почесного працівника фізичної культури і спорту України Л. Х. Шварцбурга.</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8.5.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Молодіжна політика та національно-патріотичне виховання.</w:t>
      </w: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з метою створення умов для повноцінної самореалізації молоді, інтеграції молоді до світової та європейської молодіжної спільноти, на громадських засадах при Сквирській міській раді діяла молодіжна рада Сквирської міської територіальної громади. На засіданні молодіжної ради від 25.08.2022 оновлено персональний склад ради та обрано нового голову. Рішенням виконавчого комітету Сквирської міської ради від 06.09.2022 № 8/21 внесено зміни до персонального складу молодіжн</w:t>
      </w:r>
      <w:r w:rsidDel="00000000" w:rsidR="00000000" w:rsidRPr="00000000">
        <w:rPr>
          <w:rFonts w:ascii="Times New Roman" w:cs="Times New Roman" w:eastAsia="Times New Roman" w:hAnsi="Times New Roman"/>
          <w:sz w:val="28"/>
          <w:szCs w:val="28"/>
          <w:rtl w:val="0"/>
        </w:rPr>
        <w:t xml:space="preserve">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Сквирської міської територіальної громади.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ішенням Сквирської міської ради від 29.04.2021 №11-7-VIII затверджено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«Молодь Сквирської міської територіальної громади» на 2021-2025 роки»</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у підростаючого покоління активної громадянської позиції та національно-патріотичної свідомості, закладами культури проведено щорічну літературну акцію «Читання з воїном», цикл заходів: «Афганська війна: погляд через роки…», «Шануймо пам’ять Героїв Майдану», «Добровольці – воїни світла», «Не загасити пам’яті вогонь», «І зупинилось серце молоде, щоб вічно билось серце України», години мужності, години вшанування воїнів АТО/ООС, відбувся щорічний літературний конкурс патріотичної поезії «Сильні духом, вільні серцем працюють поруч», міський фестиваль військово-патріотичної творчості «Пам'ять серця».</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закладах культури проводилися патріотичні та історичні години, зустрічі, тематичні виставки, години спілкування, конкурси, акції, підготовлено огляди літератури.</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rdcrjn" w:id="13"/>
      <w:bookmarkEnd w:id="1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 Охорона навколишнього природного середовища.</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22.12.2020 №15-3-VІІІ затверджена Програма забезпечення збору, вивезення та захоронення твердих відходів у Сквирській міській територіальній громаді на 2021-2025 роки, на фінансування якої в бюджеті Сквирської міської територіальної громади на 2022 рік передбачені кошти в сумі сумі 1520,0 тис.  грн, в тому числі на збір та перевезення ТПВ з місць загального користування територіальної громади  1150 тис. гривень. </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2022 рік в рамках  Програми забезпечення збору, вивезення та захоронення твердих відходів  зібрано та перевезено  з вулиць міста 6382 куб. м сміття з місць загального користування при запланованих 6000 м. куб.</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Сквирської міської ради від 23.12.2021 №44-17-VІІІ затверджена Програма природоохоронних заходів  Сквирської міської територіальної громади на 2022-2025 роки,</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якої в бюджеті Сквирської міської територіальної громади передбачені кошти в сумі 85,4 тис. гривень. За звітний період фінансування не здійснювалось.</w:t>
      </w: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6in1rg" w:id="14"/>
      <w:bookmarkEnd w:id="1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громаді діє Програма заходів по організації благоустрою Сквирської міської територіальної громади на 2022-2026 роки, затверджена рішенням Сквирської міської ради від 23.12.2021 №08-17-VІІІ. На реалізацію заходів програми на 2022 рік передбачені кошти в сумі 8900,0 тис. гривень. Фактично за 2022 рік профінансовано на виконання заходів Програми 8116,6 тис. гривень.</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Незважаючи на введення з 24 лютого 2022 року воєнного стану, заходи по організації благоустрою проводяться в повному обсязі.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в березні-квітні 2022 року було організовано проведення акції «За чисте довкілля», в рамках якої  проводиться благоустрій територій та ліквідація стихійних сміттєзвалищ. </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виконання розпорядження Сквирської міської голови була  організована робота по приведенню </w:t>
      </w:r>
      <w:r w:rsidDel="00000000" w:rsidR="00000000" w:rsidRPr="00000000">
        <w:rPr>
          <w:rFonts w:ascii="Times New Roman" w:cs="Times New Roman" w:eastAsia="Times New Roman" w:hAnsi="Times New Roman"/>
          <w:sz w:val="28"/>
          <w:szCs w:val="28"/>
          <w:rtl w:val="0"/>
        </w:rPr>
        <w:t xml:space="preserve">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належний стан вулиць та провулків населених пунктів громади,  територій підприємств, установ та організацій, прибудинкових територій житлового фонду, індивідуальних господарств громадян, берегів річок, пришляхових лісових смуг, зупинок громадського транспорту, обрізку дерев та кущів тощо.</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двомісячника благоустрою та акцій «За чисте довкілля», які проводились весною та </w:t>
      </w:r>
      <w:r w:rsidDel="00000000" w:rsidR="00000000" w:rsidRPr="00000000">
        <w:rPr>
          <w:rFonts w:ascii="Times New Roman" w:cs="Times New Roman" w:eastAsia="Times New Roman" w:hAnsi="Times New Roman"/>
          <w:sz w:val="28"/>
          <w:szCs w:val="28"/>
          <w:rtl w:val="0"/>
        </w:rPr>
        <w:t xml:space="preserve">восени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впорядковано території парків, скверів, дитячих та спортивних майданчиків. Здійснено благоустрій Меморіалу Слави, пам’ятників та братських могил, всіх кладовищ в населених пунктах громади. Прибрано території підприємств, установ та організацій.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Приведено в належний естетичний вигляд клумби та газони. Побілено стовбури дерев на центральних вулицях міста, сільських населених пунктів та на територіях підприємств, установ, організацій. Комунальне підприємство «Сквираблагоустрій» провело кронування та санітарну обрізку  аварійно-небезпечних дерев та кущів.</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проведено акцію «Сади перемоги», в якій приймали участь жителі громади. Висаджено 4 (чотири) тисячі фруктових саджанців.</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покладених завдань, інспектором  з благоустрою комунального підприємства «Сквираблагоустрій» проведено роботу щодо дотримання Закону України «Про благоустрій населених пунктів»,  Правил благоустрою на території Сквирської МТГ юридичними та фізичними особами:</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направлено 125 попереджень щодо приведення у належний стан території, яка перебуває у власності або орендована з урахуванням передбаченими  законом меж;</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 результатами перевірок звернень від громадян складено 15 актів обстеження;</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виконання рішення Сквирської міської ради щодо благоустрою територій  до проведення двомісячників благоустрою вручено 420 пам’яток про благоустрій жителям та суб’єктам господарської діяльності всіх форм власності;</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складі комісії проводились обстеження зелених насаджень в кількості 725 штук, які включені в акт видалення або кронування;</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підставі рішення виконавчого комітету Сквирської міської ради  виписано та вручено 39 ордерів про видалення або кронування  аварійних, проблемних дерев.</w:t>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попереджень та відсутності адекватних кроків по усуненню виявлених недоліків направлено 1 протокол на розгляд адміністративної комісії Сквирської міської ради. </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Постійно здійснюється профілактично-роз’яснювальна робота з жителями Сквирської  міської територіальної громади щодо запобігання порушень законодавства в сфері благоустрою населених пунктів, про необхідність укладення договорів на вивезення твердих побутових відходів (сміття) зі своїх дворів, а також необхідність впорядкувати прилеглі до житлових будинків та земельних ділянок. </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20"/>
          <w:tab w:val="right" w:leader="none" w:pos="9641"/>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 Цивільний захист населення. Профілактика та протидія злочинності.</w:t>
      </w: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Протягом 2022 року особлива увага приділялася на заходи, які спрямовані на захист населення та територій громади в мирний час та в особливий період у сфері цивільного захисту.</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цією метою Сквирсько</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місько</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w:t>
      </w:r>
      <w:r w:rsidDel="00000000" w:rsidR="00000000" w:rsidRPr="00000000">
        <w:rPr>
          <w:rFonts w:ascii="Times New Roman" w:cs="Times New Roman" w:eastAsia="Times New Roman" w:hAnsi="Times New Roman"/>
          <w:sz w:val="28"/>
          <w:szCs w:val="28"/>
          <w:rtl w:val="0"/>
        </w:rPr>
        <w:t xml:space="preserve">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бул</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затверджен</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цільова програма захисту населення і територій від надзвичайних ситуацій техногенного та природного характеру, забезпечення пожежної безпеки на 2022-2025 роки». </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Рішенням виконавчого комітету затверджено:</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План реагування на надзвичайні ситуації, що можуть виникнути на території Сквирської міської територіальної громади, який включає в себе план евакуації населення та план реагування на особливий період.</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Порядок створення та використання матеріального резерву для запобігання та ліквідації наслідків надзвичайних ситуацій та використання в особливий період, надання допомоги постраждалому населенню в Сквирській міській територіальній громаді. </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Загальна сума виділених у 2022 році коштів на його формування становить 1 791380 грн.</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і доведено до населення алгоритм дій в разі:</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артобстрілу та бомбардування; </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радіаційної небезпеки;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небезпечного чи підозрілого предмета; </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виявлення вибухонебезпечних предметів. </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Білоцерківського РУ</w:t>
      </w:r>
      <w:r w:rsidDel="00000000" w:rsidR="00000000" w:rsidRPr="00000000">
        <w:rPr>
          <w:rFonts w:ascii="Times New Roman" w:cs="Times New Roman" w:eastAsia="Times New Roman" w:hAnsi="Times New Roman"/>
          <w:sz w:val="28"/>
          <w:szCs w:val="28"/>
          <w:rtl w:val="0"/>
        </w:rPr>
        <w:t xml:space="preserve"> НПУ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формування фонду захисних споруд цивільного захисту неодноразово було проведено обстеження укриттів громади, зокрема – 7 протирадіаційних укриттів, з яких  1 готове, 5 обмежено готові, 1 не готове до використання. Також обстеж</w:t>
      </w:r>
      <w:r w:rsidDel="00000000" w:rsidR="00000000" w:rsidRPr="00000000">
        <w:rPr>
          <w:rFonts w:ascii="Times New Roman" w:cs="Times New Roman" w:eastAsia="Times New Roman" w:hAnsi="Times New Roman"/>
          <w:sz w:val="28"/>
          <w:szCs w:val="28"/>
          <w:rtl w:val="0"/>
        </w:rPr>
        <w:t xml:space="preserve">ено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20 підвальних приміщень для використання їх як найпростіших укриттів, 17 з яких взято на облік та зареєстровано в книзі обліку споруд подвійного призначення та найпростіших укриттів.</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за рахунок бюджетних коштів проведено облаштування та ремонт найпростіших укриттів на загальну суму 1190652,34 грн. (у підвальних приміщеннях відремонтовано електрообладнання, облаштовано внутрішні вбиральні, відновлено водопостачання, встановлено рекуператор повітря, замінено двері тощо).</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у зв’язку з початком функціонування Добровольчого формування №1 Сквирської міської територіальної громади (далі ДФ№1СМТГ), було прийнято 408 заяв добровольців про зарахування до добровольчого формування та сформовані їхні особові справи, видано 54 довідки про членство в ДФ№1СМТГ, прийнято 85 заяв про вихід з формування та розірвання контракту добровольця. Також видано 372 посвідчення добровольця ДФ№1СМТГ.</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відкрила благодійний рахунок для переказу коштів на потреби ДФТГ. Всього з 31 березня по 31 грудня 2022 року на благодійний рахунок надійшло 459 651,53 гривень (одноденний заробіток від працівників Сквирської міської ради та бюджетної сфери, благодійні внески від громадян). Станом на 01 січня 2023 року залишок коштів становить - 25 658,90 гривень.  </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них було придбано:</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костюм літній польовий 83 шт. на суму 49 800 грн;</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морозильна скриня Ardesko на FRM3000MCH 2 шт. на суму 18 200 грн;</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Asp-Micro TM160 1 шт. на суму 17 292, 50 грн;</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тепловізійний монокуляр AGM Taipan TM10-256 (тепловізор) 1 шт. на суму 31 707,50 грн;</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 3 шт. на суму 7 500 грн;</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переговорний пристрій Baofeng UV-6D 10 шт. на суму 22 000 грн;</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будівельні матеріали та електромонтажне обладнання на суму 149 892,63 грн;</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акумулятори Genesis 4 шт. на суму 23600 грн;</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sz w:val="28"/>
          <w:szCs w:val="28"/>
          <w:rtl w:val="0"/>
        </w:rPr>
        <w:t xml:space="preserve">камуфляжні</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зимові костюми - 114 000,00 гривень.</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велику увагу приділяла забезпеченню безпечної життєдіяльності  та ефективної реалізації державної політики у сфері профілактики правопорушень, зокрема:</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у 2022 році відповідно до Програми «Поліцейський офіцер громади» на 2022-2023 роки виділено кошти на придбання службового автомобіля для поліцейського офіцера громади в сумі 610000 гривень. Також, відповідно до Програми Сквирської міської ради з профілактики злочинності на 2021-2023 роки з місцевого бюджету виділено кошти в сумі 99920,78 гривень на придбання пального для автомобілів Сквирського відділу поліції.</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відділу  економічно-інвестиційної</w:t>
      </w: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діяльності та агропромислового розвитку                            Оксана СУСЛОВА</w:t>
      </w:r>
      <w:r w:rsidDel="00000000" w:rsidR="00000000" w:rsidRPr="00000000">
        <w:rPr>
          <w:rtl w:val="0"/>
        </w:rPr>
      </w:r>
    </w:p>
    <w:sectPr>
      <w:headerReference r:id="rId7" w:type="default"/>
      <w:headerReference r:id="rId8" w:type="even"/>
      <w:pgSz w:h="16838" w:w="11906" w:orient="portrait"/>
      <w:pgMar w:bottom="549.4488188976391" w:top="709" w:left="1559" w:right="56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Arial"/>
  <w:font w:name="Courier New"/>
  <w:font w:name="Antiqua"/>
  <w:font w:name="Time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Fonts w:ascii="Antiqua" w:cs="Antiqua" w:eastAsia="Antiqua" w:hAnsi="Antiqua"/>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Antiqua" w:cs="Antiqua" w:eastAsia="Antiqua" w:hAnsi="Antiqua"/>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3"/>
      <w:numFmt w:val="bullet"/>
      <w:lvlText w:val="-"/>
      <w:lvlJc w:val="left"/>
      <w:pPr>
        <w:ind w:left="1647" w:hanging="360"/>
      </w:pPr>
      <w:rPr>
        <w:rFonts w:ascii="Times New Roman" w:cs="Times New Roman" w:eastAsia="Times New Roman" w:hAnsi="Times New Roman"/>
        <w:vertAlign w:val="baseline"/>
      </w:rPr>
    </w:lvl>
    <w:lvl w:ilvl="1">
      <w:start w:val="1"/>
      <w:numFmt w:val="bullet"/>
      <w:lvlText w:val="o"/>
      <w:lvlJc w:val="left"/>
      <w:pPr>
        <w:ind w:left="2367" w:hanging="360"/>
      </w:pPr>
      <w:rPr>
        <w:rFonts w:ascii="Courier New" w:cs="Courier New" w:eastAsia="Courier New" w:hAnsi="Courier New"/>
        <w:vertAlign w:val="baseline"/>
      </w:rPr>
    </w:lvl>
    <w:lvl w:ilvl="2">
      <w:start w:val="1"/>
      <w:numFmt w:val="bullet"/>
      <w:lvlText w:val="▪"/>
      <w:lvlJc w:val="left"/>
      <w:pPr>
        <w:ind w:left="3087" w:hanging="360"/>
      </w:pPr>
      <w:rPr>
        <w:rFonts w:ascii="Noto Sans Symbols" w:cs="Noto Sans Symbols" w:eastAsia="Noto Sans Symbols" w:hAnsi="Noto Sans Symbols"/>
        <w:vertAlign w:val="baseline"/>
      </w:rPr>
    </w:lvl>
    <w:lvl w:ilvl="3">
      <w:start w:val="1"/>
      <w:numFmt w:val="bullet"/>
      <w:lvlText w:val="●"/>
      <w:lvlJc w:val="left"/>
      <w:pPr>
        <w:ind w:left="3807" w:hanging="360"/>
      </w:pPr>
      <w:rPr>
        <w:rFonts w:ascii="Noto Sans Symbols" w:cs="Noto Sans Symbols" w:eastAsia="Noto Sans Symbols" w:hAnsi="Noto Sans Symbols"/>
        <w:vertAlign w:val="baseline"/>
      </w:rPr>
    </w:lvl>
    <w:lvl w:ilvl="4">
      <w:start w:val="1"/>
      <w:numFmt w:val="bullet"/>
      <w:lvlText w:val="o"/>
      <w:lvlJc w:val="left"/>
      <w:pPr>
        <w:ind w:left="4527" w:hanging="360"/>
      </w:pPr>
      <w:rPr>
        <w:rFonts w:ascii="Courier New" w:cs="Courier New" w:eastAsia="Courier New" w:hAnsi="Courier New"/>
        <w:vertAlign w:val="baseline"/>
      </w:rPr>
    </w:lvl>
    <w:lvl w:ilvl="5">
      <w:start w:val="1"/>
      <w:numFmt w:val="bullet"/>
      <w:lvlText w:val="▪"/>
      <w:lvlJc w:val="left"/>
      <w:pPr>
        <w:ind w:left="5247" w:hanging="360"/>
      </w:pPr>
      <w:rPr>
        <w:rFonts w:ascii="Noto Sans Symbols" w:cs="Noto Sans Symbols" w:eastAsia="Noto Sans Symbols" w:hAnsi="Noto Sans Symbols"/>
        <w:vertAlign w:val="baseline"/>
      </w:rPr>
    </w:lvl>
    <w:lvl w:ilvl="6">
      <w:start w:val="1"/>
      <w:numFmt w:val="bullet"/>
      <w:lvlText w:val="●"/>
      <w:lvlJc w:val="left"/>
      <w:pPr>
        <w:ind w:left="5967" w:hanging="360"/>
      </w:pPr>
      <w:rPr>
        <w:rFonts w:ascii="Noto Sans Symbols" w:cs="Noto Sans Symbols" w:eastAsia="Noto Sans Symbols" w:hAnsi="Noto Sans Symbols"/>
        <w:vertAlign w:val="baseline"/>
      </w:rPr>
    </w:lvl>
    <w:lvl w:ilvl="7">
      <w:start w:val="1"/>
      <w:numFmt w:val="bullet"/>
      <w:lvlText w:val="o"/>
      <w:lvlJc w:val="left"/>
      <w:pPr>
        <w:ind w:left="6687" w:hanging="360"/>
      </w:pPr>
      <w:rPr>
        <w:rFonts w:ascii="Courier New" w:cs="Courier New" w:eastAsia="Courier New" w:hAnsi="Courier New"/>
        <w:vertAlign w:val="baseline"/>
      </w:rPr>
    </w:lvl>
    <w:lvl w:ilvl="8">
      <w:start w:val="1"/>
      <w:numFmt w:val="bullet"/>
      <w:lvlText w:val="▪"/>
      <w:lvlJc w:val="left"/>
      <w:pPr>
        <w:ind w:left="7407"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4">
    <w:lvl w:ilvl="0">
      <w:start w:val="3"/>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18"/>
        <w:szCs w:val="18"/>
        <w:lang w:val="uk-UA"/>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Знак">
    <w:name w:val="Знак"/>
    <w:basedOn w:val="Обычный"/>
    <w:next w:val="Знак"/>
    <w:autoRedefine w:val="0"/>
    <w:hidden w:val="0"/>
    <w:qFormat w:val="0"/>
    <w:pPr>
      <w:suppressAutoHyphens w:val="1"/>
      <w:overflowPunct w:val="1"/>
      <w:autoSpaceDE w:val="1"/>
      <w:autoSpaceDN w:val="1"/>
      <w:adjustRightInd w:val="1"/>
      <w:spacing w:line="1" w:lineRule="atLeast"/>
      <w:ind w:leftChars="-1" w:rightChars="0" w:firstLineChars="-1"/>
      <w:textDirection w:val="btLr"/>
      <w:textAlignment w:val="auto"/>
      <w:outlineLvl w:val="0"/>
    </w:pPr>
    <w:rPr>
      <w:rFonts w:ascii="Verdana" w:hAnsi="Verdana"/>
      <w:w w:val="100"/>
      <w:position w:val="-1"/>
      <w:sz w:val="20"/>
      <w:effect w:val="none"/>
      <w:vertAlign w:val="baseline"/>
      <w:cs w:val="0"/>
      <w:em w:val="none"/>
      <w:lang w:bidi="ar-SA" w:eastAsia="en-US" w:val="en-US"/>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Основнойтекстсотступом,Подписькрис.,Ïîäïèñüêðèñ.">
    <w:name w:val="Основной текст с отступом,Подпись к рис.,Ïîäïèñü ê ðèñ."/>
    <w:basedOn w:val="Обычный"/>
    <w:next w:val="Основнойтекстсотступом,Подписькрис.,Ïîäïèñüêðèñ."/>
    <w:autoRedefine w:val="0"/>
    <w:hidden w:val="0"/>
    <w:qFormat w:val="0"/>
    <w:pPr>
      <w:suppressAutoHyphens w:val="1"/>
      <w:overflowPunct w:val="1"/>
      <w:autoSpaceDE w:val="1"/>
      <w:autoSpaceDN w:val="1"/>
      <w:adjustRightInd w:val="1"/>
      <w:spacing w:line="1" w:lineRule="atLeast"/>
      <w:ind w:leftChars="-1" w:rightChars="0" w:firstLine="708" w:firstLineChars="-1"/>
      <w:jc w:val="both"/>
      <w:textDirection w:val="btLr"/>
      <w:textAlignment w:val="auto"/>
      <w:outlineLvl w:val="0"/>
    </w:pPr>
    <w:rPr>
      <w:rFonts w:ascii="Times New Roman" w:hAnsi="Times New Roman"/>
      <w:w w:val="100"/>
      <w:position w:val="-1"/>
      <w:sz w:val="28"/>
      <w:effect w:val="none"/>
      <w:vertAlign w:val="baseline"/>
      <w:cs w:val="0"/>
      <w:em w:val="none"/>
      <w:lang w:bidi="ar-SA" w:eastAsia="und" w:val="uk-UA"/>
    </w:rPr>
  </w:style>
  <w:style w:type="character" w:styleId="ОсновнойтекстсотступомЗнак,Подписькрис.Знак,Ïîäïèñüêðèñ.Знак">
    <w:name w:val="Основной текст с отступом Знак,Подпись к рис. Знак,Ïîäïèñü ê ðèñ. Знак"/>
    <w:next w:val="ОсновнойтекстсотступомЗнак,Подписькрис.Знак,Ïîäïèñüêðèñ.Знак"/>
    <w:autoRedefine w:val="0"/>
    <w:hidden w:val="0"/>
    <w:qFormat w:val="0"/>
    <w:rPr>
      <w:w w:val="100"/>
      <w:position w:val="-1"/>
      <w:sz w:val="28"/>
      <w:effect w:val="none"/>
      <w:vertAlign w:val="baseline"/>
      <w:cs w:val="0"/>
      <w:em w:val="none"/>
      <w:lang w:val="uk-UA"/>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suppressAutoHyphens w:val="1"/>
      <w:overflowPunct w:val="1"/>
      <w:autoSpaceDE w:val="1"/>
      <w:autoSpaceDN w:val="1"/>
      <w:adjustRightInd w:val="1"/>
      <w:spacing w:line="1" w:lineRule="atLeast"/>
      <w:ind w:leftChars="-1" w:rightChars="0" w:firstLine="720" w:firstLineChars="-1"/>
      <w:jc w:val="both"/>
      <w:textDirection w:val="btLr"/>
      <w:textAlignment w:val="auto"/>
      <w:outlineLvl w:val="0"/>
    </w:pPr>
    <w:rPr>
      <w:rFonts w:ascii="Times New Roman" w:hAnsi="Times New Roman"/>
      <w:w w:val="100"/>
      <w:position w:val="-1"/>
      <w:sz w:val="28"/>
      <w:effect w:val="none"/>
      <w:vertAlign w:val="baseline"/>
      <w:cs w:val="0"/>
      <w:em w:val="none"/>
      <w:lang w:bidi="ar-SA" w:eastAsia="und" w:val="uk-UA"/>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8"/>
      <w:effect w:val="none"/>
      <w:vertAlign w:val="baseline"/>
      <w:cs w:val="0"/>
      <w:em w:val="none"/>
      <w:lang w:val="uk-UA"/>
    </w:rPr>
  </w:style>
  <w:style w:type="paragraph" w:styleId="Текствыноски">
    <w:name w:val="Текст выноски"/>
    <w:basedOn w:val="Обычный"/>
    <w:next w:val="Текствыноски"/>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ahoma" w:hAnsi="Tahoma"/>
      <w:w w:val="100"/>
      <w:position w:val="-1"/>
      <w:sz w:val="16"/>
      <w:szCs w:val="16"/>
      <w:effect w:val="none"/>
      <w:vertAlign w:val="baseline"/>
      <w:cs w:val="0"/>
      <w:em w:val="none"/>
      <w:lang w:bidi="ar-SA" w:eastAsia="und" w:val="hr-HR"/>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val="hr-HR"/>
    </w:rPr>
  </w:style>
  <w:style w:type="paragraph" w:styleId="ListParagraph">
    <w:name w:val="List Paragraph"/>
    <w:basedOn w:val="Обычный"/>
    <w:next w:val="ListParagraph"/>
    <w:autoRedefine w:val="0"/>
    <w:hidden w:val="0"/>
    <w:qFormat w:val="0"/>
    <w:pPr>
      <w:suppressAutoHyphens w:val="1"/>
      <w:overflowPunct w:val="1"/>
      <w:autoSpaceDE w:val="1"/>
      <w:autoSpaceDN w:val="1"/>
      <w:adjustRightInd w:val="1"/>
      <w:spacing w:after="200" w:line="276" w:lineRule="auto"/>
      <w:ind w:left="720" w:leftChars="-1" w:rightChars="0" w:firstLineChars="-1"/>
      <w:contextualSpacing w:val="1"/>
      <w:textDirection w:val="btLr"/>
      <w:textAlignment w:val="auto"/>
      <w:outlineLvl w:val="0"/>
    </w:pPr>
    <w:rPr>
      <w:rFonts w:ascii="Calibri" w:hAnsi="Calibri"/>
      <w:w w:val="100"/>
      <w:position w:val="-1"/>
      <w:sz w:val="22"/>
      <w:szCs w:val="22"/>
      <w:effect w:val="none"/>
      <w:vertAlign w:val="baseline"/>
      <w:cs w:val="0"/>
      <w:em w:val="none"/>
      <w:lang w:bidi="ar-SA" w:eastAsia="en-US" w:val="uk-UA"/>
    </w:rPr>
  </w:style>
  <w:style w:type="paragraph" w:styleId="Нормальнийтекст">
    <w:name w:val="Нормальний текст"/>
    <w:basedOn w:val="Обычный"/>
    <w:next w:val="Нормальнийтекст"/>
    <w:autoRedefine w:val="0"/>
    <w:hidden w:val="0"/>
    <w:qFormat w:val="0"/>
    <w:pPr>
      <w:suppressAutoHyphens w:val="1"/>
      <w:overflowPunct w:val="1"/>
      <w:autoSpaceDE w:val="1"/>
      <w:autoSpaceDN w:val="1"/>
      <w:adjustRightInd w:val="1"/>
      <w:spacing w:before="120" w:line="1" w:lineRule="atLeast"/>
      <w:ind w:leftChars="-1" w:rightChars="0" w:firstLine="567" w:firstLineChars="-1"/>
      <w:textDirection w:val="btLr"/>
      <w:textAlignment w:val="auto"/>
      <w:outlineLvl w:val="0"/>
    </w:pPr>
    <w:rPr>
      <w:rFonts w:ascii="Antiqua" w:hAnsi="Antiqua"/>
      <w:w w:val="100"/>
      <w:position w:val="-1"/>
      <w:sz w:val="26"/>
      <w:effect w:val="none"/>
      <w:vertAlign w:val="baseline"/>
      <w:cs w:val="0"/>
      <w:em w:val="none"/>
      <w:lang w:bidi="ar-SA" w:eastAsia="ru-RU" w:val="uk-UA"/>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677"/>
        <w:tab w:val="right" w:leader="none" w:pos="9355"/>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НижнийколонтитулЗнак">
    <w:name w:val="Нижний колонтитул Знак"/>
    <w:next w:val="НижнийколонтитулЗнак"/>
    <w:autoRedefine w:val="0"/>
    <w:hidden w:val="0"/>
    <w:qFormat w:val="0"/>
    <w:rPr>
      <w:rFonts w:ascii="Antiqua" w:hAnsi="Antiqua"/>
      <w:w w:val="100"/>
      <w:position w:val="-1"/>
      <w:sz w:val="28"/>
      <w:effect w:val="none"/>
      <w:vertAlign w:val="baseline"/>
      <w:cs w:val="0"/>
      <w:em w:val="none"/>
      <w:lang w:val="hr-HR"/>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effect w:val="none"/>
      <w:vertAlign w:val="baseline"/>
      <w:cs w:val="0"/>
      <w:em w:val="none"/>
      <w:lang w:bidi="ar-SA" w:eastAsia="ru-RU" w:val="ru-RU"/>
    </w:rPr>
  </w:style>
  <w:style w:type="paragraph" w:styleId="Безінтервалів">
    <w:name w:val="Без інтервалів"/>
    <w:next w:val="Безінтервалів"/>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character" w:styleId="БезинтервалаЗнак">
    <w:name w:val="Без интервала Знак"/>
    <w:next w:val="БезинтервалаЗнак"/>
    <w:autoRedefine w:val="0"/>
    <w:hidden w:val="0"/>
    <w:qFormat w:val="0"/>
    <w:rPr>
      <w:w w:val="100"/>
      <w:position w:val="-1"/>
      <w:sz w:val="22"/>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Сеткатаблицы"/>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Обычный(Web),Знак1Знак,Знак1ЗнакЗнак,Знак1ЗнакЗнакЗнакЗнакЗнакЗнакЗнак,Обычный(Web)ЗнакЗнакЗнакЗнакЗнакЗнак,Обычный(веб)Знак2,Обычный(веб)Знак1Знак,Обычный(веб)Знак2Знак1Знак,Обычный(Интернет)1">
    <w:name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Интернет)1"/>
    <w:basedOn w:val="Обычный"/>
    <w:next w:val="Обычный(веб),Обычный(веб)Знак1ЗнакЗнакЗнак,Обычный(веб)ЗнакЗнакЗнакЗнакЗнак,Обычный(Web)ЗнакЗнакЗнакЗнакЗнак"/>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w w:val="100"/>
      <w:position w:val="-1"/>
      <w:sz w:val="24"/>
      <w:szCs w:val="24"/>
      <w:effect w:val="none"/>
      <w:vertAlign w:val="baseline"/>
      <w:cs w:val="0"/>
      <w:em w:val="none"/>
      <w:lang w:bidi="ar-SA" w:eastAsia="ru-RU" w:val="ru-RU"/>
    </w:rPr>
  </w:style>
  <w:style w:type="paragraph" w:styleId="Обычный(веб),Обычный(веб)Знак1ЗнакЗнакЗнак,Обычный(веб)ЗнакЗнакЗнакЗнакЗнак,Обычный(Web)ЗнакЗнакЗнакЗнакЗнак">
    <w:name w:val="Обычный (веб),Обычный (веб) Знак1 Знак Знак Знак,Обычный (веб) Знак Знак Знак Знак Знак,Обычный (Web) Знак Знак Знак Знак Знак"/>
    <w:basedOn w:val="Обычный"/>
    <w:next w:val="Обычный(веб),Обычный(веб)Знак1ЗнакЗнакЗнак,Обычный(веб)ЗнакЗнакЗнакЗнакЗнак,Обычный(Web)ЗнакЗнакЗнакЗнакЗнак"/>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imes New Roman" w:hAnsi="Times New Roman"/>
      <w:w w:val="100"/>
      <w:position w:val="-1"/>
      <w:sz w:val="24"/>
      <w:szCs w:val="24"/>
      <w:effect w:val="none"/>
      <w:vertAlign w:val="baseline"/>
      <w:cs w:val="0"/>
      <w:em w:val="none"/>
      <w:lang w:bidi="ar-SA" w:eastAsia="ru-RU" w:val="hr-HR"/>
    </w:rPr>
  </w:style>
  <w:style w:type="character" w:styleId="Основнийтекст(2)_">
    <w:name w:val="Основний текст (2)_"/>
    <w:next w:val="Основнийтекст(2)_"/>
    <w:autoRedefine w:val="0"/>
    <w:hidden w:val="0"/>
    <w:qFormat w:val="0"/>
    <w:rPr>
      <w:w w:val="100"/>
      <w:position w:val="-1"/>
      <w:effect w:val="none"/>
      <w:shd w:color="auto" w:fill="ffffff" w:val="clear"/>
      <w:vertAlign w:val="baseline"/>
      <w:cs w:val="0"/>
      <w:em w:val="none"/>
      <w:lang/>
    </w:rPr>
  </w:style>
  <w:style w:type="paragraph" w:styleId="Основнийтекст(2)1">
    <w:name w:val="Основний текст (2)1"/>
    <w:basedOn w:val="Обычный"/>
    <w:next w:val="Основнийтекст(2)1"/>
    <w:autoRedefine w:val="0"/>
    <w:hidden w:val="0"/>
    <w:qFormat w:val="0"/>
    <w:pPr>
      <w:widowControl w:val="0"/>
      <w:shd w:color="auto" w:fill="ffffff" w:val="clear"/>
      <w:suppressAutoHyphens w:val="1"/>
      <w:overflowPunct w:val="1"/>
      <w:autoSpaceDE w:val="1"/>
      <w:autoSpaceDN w:val="1"/>
      <w:adjustRightInd w:val="1"/>
      <w:spacing w:after="180" w:line="322" w:lineRule="atLeast"/>
      <w:ind w:leftChars="-1" w:rightChars="0" w:firstLineChars="-1"/>
      <w:textDirection w:val="btLr"/>
      <w:textAlignment w:val="auto"/>
      <w:outlineLvl w:val="0"/>
    </w:pPr>
    <w:rPr>
      <w:rFonts w:ascii="Times New Roman" w:hAnsi="Times New Roman"/>
      <w:w w:val="100"/>
      <w:position w:val="-1"/>
      <w:sz w:val="20"/>
      <w:effect w:val="none"/>
      <w:vertAlign w:val="baseline"/>
      <w:cs w:val="0"/>
      <w:em w:val="none"/>
      <w:lang w:bidi="ar-SA" w:eastAsia="ru-RU" w:val="ru-RU"/>
    </w:rPr>
  </w:style>
  <w:style w:type="paragraph" w:styleId="Абзацсписка">
    <w:name w:val="Абзац списка"/>
    <w:basedOn w:val="Обычный"/>
    <w:next w:val="Абзацсписка"/>
    <w:autoRedefine w:val="0"/>
    <w:hidden w:val="0"/>
    <w:qFormat w:val="0"/>
    <w:pPr>
      <w:suppressAutoHyphens w:val="1"/>
      <w:overflowPunct w:val="1"/>
      <w:autoSpaceDE w:val="1"/>
      <w:autoSpaceDN w:val="1"/>
      <w:adjustRightInd w:val="1"/>
      <w:spacing w:after="200" w:line="276" w:lineRule="auto"/>
      <w:ind w:left="720" w:leftChars="-1" w:rightChars="0" w:firstLineChars="-1"/>
      <w:contextualSpacing w:val="1"/>
      <w:textDirection w:val="btLr"/>
      <w:textAlignment w:val="auto"/>
      <w:outlineLvl w:val="0"/>
    </w:pPr>
    <w:rPr>
      <w:rFonts w:ascii="Calibri" w:hAnsi="Calibri"/>
      <w:w w:val="100"/>
      <w:position w:val="-1"/>
      <w:sz w:val="22"/>
      <w:szCs w:val="22"/>
      <w:effect w:val="none"/>
      <w:vertAlign w:val="baseline"/>
      <w:cs w:val="0"/>
      <w:em w:val="none"/>
      <w:lang w:bidi="ar-SA" w:eastAsia="ru-RU" w:val="ru-RU"/>
    </w:rPr>
  </w:style>
  <w:style w:type="character" w:styleId="АбзацспискаЗнак">
    <w:name w:val="Абзац списка Знак"/>
    <w:next w:val="АбзацспискаЗнак"/>
    <w:autoRedefine w:val="0"/>
    <w:hidden w:val="0"/>
    <w:qFormat w:val="0"/>
    <w:rPr>
      <w:rFonts w:ascii="Calibri" w:hAnsi="Calibri"/>
      <w:w w:val="100"/>
      <w:position w:val="-1"/>
      <w:sz w:val="22"/>
      <w:szCs w:val="22"/>
      <w:effect w:val="none"/>
      <w:vertAlign w:val="baseline"/>
      <w:cs w:val="0"/>
      <w:em w:val="none"/>
      <w:lang/>
    </w:rPr>
  </w:style>
  <w:style w:type="character" w:styleId="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next w:val="Обычный(веб)Знак,Обычный(Web)Знак,Обычный(веб)Знак2Знак,Обычный(веб)Знак1ЗнакЗнак,Обычный(веб)Знак2Знак1ЗнакЗнак,Обычный(веб)Знак1ЗнакЗнакЗнакЗнак,Обычный(веб)ЗнакЗнакЗнакЗнакЗнакЗнак"/>
    <w:autoRedefine w:val="0"/>
    <w:hidden w:val="0"/>
    <w:qFormat w:val="0"/>
    <w:rPr>
      <w:w w:val="100"/>
      <w:position w:val="-1"/>
      <w:sz w:val="24"/>
      <w:szCs w:val="24"/>
      <w:effect w:val="none"/>
      <w:vertAlign w:val="baseline"/>
      <w:cs w:val="0"/>
      <w:em w:val="none"/>
      <w:lang w:val="hr-HR"/>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бычный1">
    <w:name w:val="Обычный1"/>
    <w:next w:val="Обычный1"/>
    <w:autoRedefine w:val="0"/>
    <w:hidden w:val="0"/>
    <w:qFormat w:val="0"/>
    <w:pPr>
      <w:widowControl w:val="0"/>
      <w:suppressAutoHyphens w:val="1"/>
      <w:spacing w:before="240" w:line="1" w:lineRule="atLeast"/>
      <w:ind w:leftChars="-1" w:rightChars="0" w:firstLine="8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ru-RU" w:val="uk-UA"/>
    </w:rPr>
  </w:style>
  <w:style w:type="character" w:styleId="docdata,docy,v5,2455,baiaagaaboqcaaad0acaaaxebwaaaaaaaaaaaaaaaaaaaaaaaaaaaaaaaaaaaaaaaaaaaaaaaaaaaaaaaaaaaaaaaaaaaaaaaaaaaaaaaaaaaaaaaaaaaaaaaaaaaaaaaaaaaaaaaaaaaaaaaaaaaaaaaaaaaaaaaaaaaaaaaaaaaaaaaaaaaaaaaaaaaaaaaaaaaaaaaaaaaaaaaaaaaaaaaaaaaaaaaaaaaaaa">
    <w:name w:val="docdata,docy,v5,2455,baiaagaaboqcaaad0acaaaxebwaaaaaaaaaaaaaaaaaaaaaaaaaaaaaaaaaaaaaaaaaaaaaaaaaaaaaaaaaaaaaaaaaaaaaaaaaaaaaaaaaaaaaaaaaaaaaaaaaaaaaaaaaaaaaaaaaaaaaaaaaaaaaaaaaaaaaaaaaaaaaaaaaaaaaaaaaaaaaaaaaaaaaaaaaaaaaaaaaaaaaaaaaaaaaaaaaaaaaaaaaaaaaa"/>
    <w:next w:val="docdata,docy,v5,2455,baiaagaaboqcaaad0acaaaxebwaaaaaaaaaaaaaaaaaaaaaaaaaaaaaaaaaaaaaaaaaaaaaaaaaaaaaaaaaaaaaaaaaaaaaaaaaaaaaaaaaaaaaaaaaaaaaaaaaaaaaaaaaaaaaaaaaaaaaaaaaaaaaaaaaaaaaaaaaaaaaaaaaaaaaaaaaaaaaaaaaaaaaaaaaaaaaaaaaaaaaaaaaaaaaaaaaaaaaaaaaaaaaa"/>
    <w:autoRedefine w:val="0"/>
    <w:hidden w:val="0"/>
    <w:qFormat w:val="0"/>
    <w:rPr>
      <w:w w:val="100"/>
      <w:position w:val="-1"/>
      <w:effect w:val="none"/>
      <w:vertAlign w:val="baseline"/>
      <w:cs w:val="0"/>
      <w:em w:val="none"/>
      <w:lang/>
    </w:rPr>
  </w:style>
  <w:style w:type="character" w:styleId="apple-tab-span">
    <w:name w:val="apple-tab-span"/>
    <w:next w:val="apple-tab-span"/>
    <w:autoRedefine w:val="0"/>
    <w:hidden w:val="0"/>
    <w:qFormat w:val="0"/>
    <w:rPr>
      <w:w w:val="100"/>
      <w:position w:val="-1"/>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overflowPunct w:val="0"/>
      <w:autoSpaceDE w:val="0"/>
      <w:autoSpaceDN w:val="0"/>
      <w:adjustRightInd w:val="0"/>
      <w:spacing w:after="120" w:line="1" w:lineRule="atLeast"/>
      <w:ind w:leftChars="-1" w:rightChars="0" w:firstLineChars="-1"/>
      <w:textDirection w:val="btLr"/>
      <w:textAlignment w:val="baseline"/>
      <w:outlineLvl w:val="0"/>
    </w:pPr>
    <w:rPr>
      <w:rFonts w:ascii="Antiqua" w:hAnsi="Antiqua"/>
      <w:w w:val="100"/>
      <w:position w:val="-1"/>
      <w:sz w:val="28"/>
      <w:effect w:val="none"/>
      <w:vertAlign w:val="baseline"/>
      <w:cs w:val="0"/>
      <w:em w:val="none"/>
      <w:lang w:bidi="ar-SA" w:eastAsia="ru-RU" w:val="hr-HR"/>
    </w:rPr>
  </w:style>
  <w:style w:type="character" w:styleId="ОсновнойтекстЗнак">
    <w:name w:val="Основной текст Знак"/>
    <w:next w:val="ОсновнойтекстЗнак"/>
    <w:autoRedefine w:val="0"/>
    <w:hidden w:val="0"/>
    <w:qFormat w:val="0"/>
    <w:rPr>
      <w:rFonts w:ascii="Antiqua" w:hAnsi="Antiqua"/>
      <w:w w:val="100"/>
      <w:position w:val="-1"/>
      <w:sz w:val="28"/>
      <w:effect w:val="none"/>
      <w:vertAlign w:val="baseline"/>
      <w:cs w:val="0"/>
      <w:em w:val="none"/>
      <w:lang w:val="hr-HR"/>
    </w:rPr>
  </w:style>
  <w:style w:type="paragraph" w:styleId="Normal">
    <w:name w:val="Normal"/>
    <w:next w:val="Normal"/>
    <w:autoRedefine w:val="0"/>
    <w:hidden w:val="0"/>
    <w:qFormat w:val="0"/>
    <w:pPr>
      <w:suppressAutoHyphens w:val="1"/>
      <w:spacing w:line="1" w:lineRule="atLeast"/>
      <w:ind w:leftChars="-1" w:rightChars="0" w:firstLineChars="-1"/>
      <w:jc w:val="both"/>
      <w:textDirection w:val="btLr"/>
      <w:textAlignment w:val="top"/>
      <w:outlineLvl w:val="0"/>
    </w:pPr>
    <w:rPr>
      <w:rFonts w:ascii="Times" w:hAnsi="Times"/>
      <w:snapToGrid w:val="0"/>
      <w:w w:val="100"/>
      <w:position w:val="-1"/>
      <w:sz w:val="18"/>
      <w:effect w:val="none"/>
      <w:vertAlign w:val="baseline"/>
      <w:cs w:val="0"/>
      <w:em w:val="none"/>
      <w:lang w:bidi="ar-SA" w:eastAsia="ru-RU" w:val="ru-RU"/>
    </w:rPr>
  </w:style>
  <w:style w:type="character" w:styleId="gridtext">
    <w:name w:val="gridtext"/>
    <w:next w:val="gridtext"/>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RM7mdkYAVVsu7nt1ER2vRSblUQ==">AMUW2mUU3yxph4ztntlkPGjcF5N24wxFcVKHEYqXe+9utMcU3GrcKhtKcyxVUqgFedYPPlYAut1dkaw/MT5YQBf/hIB8r+MqqEBlsi17xQDP6zFH23f40NDwVJ75TcMhRvo1XByO0lZRTFcHG6gbUVVk2jq4e5VA4/QyD2l5DuU5PbF5F/NT9HEzwY02MHsBjg/Zt4OwYrM4o1a1x81qglh/E3epwDWkCpEqW7SZvG52LW4+HtyZX3NNIQ8uNKzuI7fYJhfSJK+u/ssDZntYef1yP7JZ4fvql7fPdz73+OEsoLHwL/Mj1doBEasWqc8OQxg6meTaPFBcMFjiXCdjj7YFnBTiVfDmDi7w2IAJ9MLWk2/AmUE47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2023-02-17T08:56:00Z</dcterms:created>
  <dc:creator>oem2</dc:creator>
</cp:coreProperties>
</file>